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28E6" w:rsidRDefault="00A228E6" w:rsidP="00A228E6">
      <w:pPr>
        <w:rPr>
          <w:rFonts w:cstheme="minorHAnsi"/>
          <w:b/>
          <w:color w:val="000000" w:themeColor="text1"/>
          <w:sz w:val="22"/>
          <w:szCs w:val="22"/>
        </w:rPr>
      </w:pPr>
      <w:r w:rsidRPr="00A228E6">
        <w:rPr>
          <w:rFonts w:cstheme="minorHAnsi"/>
          <w:b/>
          <w:color w:val="000000" w:themeColor="text1"/>
          <w:sz w:val="22"/>
          <w:szCs w:val="22"/>
        </w:rPr>
        <w:t>Leukemia, Lymphoma Self</w:t>
      </w:r>
      <w:r w:rsidR="007605FE">
        <w:rPr>
          <w:rFonts w:cstheme="minorHAnsi"/>
          <w:b/>
          <w:color w:val="000000" w:themeColor="text1"/>
          <w:sz w:val="22"/>
          <w:szCs w:val="22"/>
        </w:rPr>
        <w:t>-</w:t>
      </w:r>
      <w:r w:rsidRPr="00A228E6">
        <w:rPr>
          <w:rFonts w:cstheme="minorHAnsi"/>
          <w:b/>
          <w:color w:val="000000" w:themeColor="text1"/>
          <w:sz w:val="22"/>
          <w:szCs w:val="22"/>
        </w:rPr>
        <w:t xml:space="preserve">Assessment: </w:t>
      </w:r>
    </w:p>
    <w:p w:rsidR="00A228E6" w:rsidRPr="00A228E6" w:rsidRDefault="00A228E6" w:rsidP="00A228E6">
      <w:pPr>
        <w:rPr>
          <w:rFonts w:cstheme="minorHAnsi"/>
          <w:b/>
          <w:color w:val="000000" w:themeColor="text1"/>
          <w:sz w:val="22"/>
          <w:szCs w:val="22"/>
        </w:rPr>
      </w:pPr>
    </w:p>
    <w:p w:rsidR="00A228E6" w:rsidRPr="0046626D" w:rsidRDefault="00A228E6" w:rsidP="00A228E6">
      <w:pPr>
        <w:pStyle w:val="ListParagraph"/>
        <w:numPr>
          <w:ilvl w:val="0"/>
          <w:numId w:val="1"/>
        </w:numPr>
        <w:rPr>
          <w:rFonts w:eastAsia="Times New Roman" w:cstheme="minorHAnsi"/>
          <w:color w:val="000000" w:themeColor="text1"/>
          <w:sz w:val="22"/>
          <w:szCs w:val="22"/>
          <w:shd w:val="clear" w:color="auto" w:fill="FFFFFF"/>
        </w:rPr>
      </w:pPr>
      <w:r w:rsidRPr="0046626D">
        <w:rPr>
          <w:rFonts w:eastAsia="Times New Roman" w:cstheme="minorHAnsi"/>
          <w:color w:val="000000" w:themeColor="text1"/>
          <w:sz w:val="22"/>
          <w:szCs w:val="22"/>
          <w:shd w:val="clear" w:color="auto" w:fill="FFFFFF"/>
        </w:rPr>
        <w:t>A 3-year-old boy is brought to the ofﬁce with complaints of fever and pain in the legs. The fever has been intermittent and as high as 101.5°F (38.6°C) for the past 5 days, and the pain in the legs is waking him up at night. He has a negative medical history, and his immunizations are up-to-date. The mother noted that he has had some bruising on the arms and legs, but she accounts for that by his active play. He had a viral infection approximately 3 weeks ago that resolved without treatment. Vital signs include a temperature of 100.8°F (38.2°C), a heart rate of 120 beats/min, a respiratory rate of 24 breaths/min, blood pressure of 100/60 mm Hg, and oxygen saturation of 100% on room air. There is mild cervical lymphadenopathy, and results of the heart and lung examinations are normal. The abdomen is soft, without hepatosplenomegaly. The extremities show mild discomfort, with scattered ecchymoses. Neurologic examination ﬁndings are normal. Laboratory studies show a white blood cell (WBC) count of 1,500/μL (1.5 x 10</w:t>
      </w:r>
      <w:r w:rsidRPr="0046626D">
        <w:rPr>
          <w:rFonts w:eastAsia="Times New Roman" w:cstheme="minorHAnsi"/>
          <w:color w:val="000000" w:themeColor="text1"/>
          <w:sz w:val="22"/>
          <w:szCs w:val="22"/>
          <w:shd w:val="clear" w:color="auto" w:fill="FFFFFF"/>
          <w:vertAlign w:val="superscript"/>
        </w:rPr>
        <w:t>9</w:t>
      </w:r>
      <w:r w:rsidRPr="0046626D">
        <w:rPr>
          <w:rFonts w:eastAsia="Times New Roman" w:cstheme="minorHAnsi"/>
          <w:color w:val="000000" w:themeColor="text1"/>
          <w:sz w:val="22"/>
          <w:szCs w:val="22"/>
          <w:shd w:val="clear" w:color="auto" w:fill="FFFFFF"/>
        </w:rPr>
        <w:t>/L), a hemoglobin level of 8.5 g/dL (85 g/L), a hematocrit value of 24%, a platelet count of 75 x 10</w:t>
      </w:r>
      <w:r w:rsidRPr="0046626D">
        <w:rPr>
          <w:rFonts w:eastAsia="Times New Roman" w:cstheme="minorHAnsi"/>
          <w:color w:val="000000" w:themeColor="text1"/>
          <w:sz w:val="22"/>
          <w:szCs w:val="22"/>
          <w:shd w:val="clear" w:color="auto" w:fill="FFFFFF"/>
          <w:vertAlign w:val="superscript"/>
        </w:rPr>
        <w:t>3</w:t>
      </w:r>
      <w:r w:rsidRPr="0046626D">
        <w:rPr>
          <w:rFonts w:eastAsia="Times New Roman" w:cstheme="minorHAnsi"/>
          <w:color w:val="000000" w:themeColor="text1"/>
          <w:sz w:val="22"/>
          <w:szCs w:val="22"/>
          <w:shd w:val="clear" w:color="auto" w:fill="FFFFFF"/>
        </w:rPr>
        <w:t>/μL (75 x 10</w:t>
      </w:r>
      <w:r w:rsidRPr="0046626D">
        <w:rPr>
          <w:rFonts w:eastAsia="Times New Roman" w:cstheme="minorHAnsi"/>
          <w:color w:val="000000" w:themeColor="text1"/>
          <w:sz w:val="22"/>
          <w:szCs w:val="22"/>
          <w:shd w:val="clear" w:color="auto" w:fill="FFFFFF"/>
          <w:vertAlign w:val="superscript"/>
        </w:rPr>
        <w:t>9</w:t>
      </w:r>
      <w:r w:rsidRPr="0046626D">
        <w:rPr>
          <w:rFonts w:eastAsia="Times New Roman" w:cstheme="minorHAnsi"/>
          <w:color w:val="000000" w:themeColor="text1"/>
          <w:sz w:val="22"/>
          <w:szCs w:val="22"/>
          <w:shd w:val="clear" w:color="auto" w:fill="FFFFFF"/>
        </w:rPr>
        <w:t xml:space="preserve">/L), a reticulocyte count of 0.4%, and a differential count of 5% neutrophils, 85% lymphocytes, 5% eosinophils, and 5% monocytes. </w:t>
      </w:r>
    </w:p>
    <w:p w:rsidR="00A228E6" w:rsidRPr="0046626D" w:rsidRDefault="00A228E6" w:rsidP="00A228E6">
      <w:pPr>
        <w:pStyle w:val="ListParagraph"/>
        <w:rPr>
          <w:rFonts w:eastAsia="Times New Roman" w:cstheme="minorHAnsi"/>
          <w:color w:val="000000" w:themeColor="text1"/>
          <w:sz w:val="22"/>
          <w:szCs w:val="22"/>
          <w:shd w:val="clear" w:color="auto" w:fill="FFFFFF"/>
        </w:rPr>
      </w:pPr>
    </w:p>
    <w:p w:rsidR="00A228E6" w:rsidRPr="0046626D" w:rsidRDefault="00A228E6" w:rsidP="00A228E6">
      <w:pPr>
        <w:pStyle w:val="ListParagraph"/>
        <w:rPr>
          <w:rFonts w:eastAsia="Times New Roman" w:cstheme="minorHAnsi"/>
          <w:color w:val="000000" w:themeColor="text1"/>
          <w:sz w:val="22"/>
          <w:szCs w:val="22"/>
          <w:shd w:val="clear" w:color="auto" w:fill="FFFFFF"/>
        </w:rPr>
      </w:pPr>
      <w:r w:rsidRPr="0046626D">
        <w:rPr>
          <w:rFonts w:eastAsia="Times New Roman" w:cstheme="minorHAnsi"/>
          <w:color w:val="000000" w:themeColor="text1"/>
          <w:sz w:val="22"/>
          <w:szCs w:val="22"/>
          <w:shd w:val="clear" w:color="auto" w:fill="FFFFFF"/>
        </w:rPr>
        <w:t>Which of the following is the most likely diagnosis in this patient?</w:t>
      </w:r>
    </w:p>
    <w:p w:rsidR="00A228E6" w:rsidRPr="0046626D" w:rsidRDefault="00A228E6" w:rsidP="00A228E6">
      <w:pPr>
        <w:pStyle w:val="ListParagraph"/>
        <w:rPr>
          <w:rFonts w:eastAsia="Times New Roman" w:cstheme="minorHAnsi"/>
          <w:color w:val="000000" w:themeColor="text1"/>
          <w:sz w:val="22"/>
          <w:szCs w:val="22"/>
          <w:shd w:val="clear" w:color="auto" w:fill="FFFFFF"/>
        </w:rPr>
      </w:pP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Acute Lymphoblastic Leukemia</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Aplastic Anemia</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Chronic Lymphocytic Leukemia</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Infectious Mononucleosis</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Viral Suppression</w:t>
      </w:r>
    </w:p>
    <w:p w:rsidR="00A228E6" w:rsidRPr="0046626D" w:rsidRDefault="00A228E6" w:rsidP="00A228E6">
      <w:pPr>
        <w:pStyle w:val="ListParagraph"/>
        <w:ind w:left="1440"/>
        <w:rPr>
          <w:rFonts w:eastAsia="Times New Roman" w:cstheme="minorHAnsi"/>
          <w:color w:val="000000" w:themeColor="text1"/>
          <w:sz w:val="22"/>
          <w:szCs w:val="22"/>
        </w:rPr>
      </w:pPr>
    </w:p>
    <w:p w:rsidR="00A228E6" w:rsidRPr="0046626D" w:rsidRDefault="00A228E6" w:rsidP="00A228E6">
      <w:pPr>
        <w:pStyle w:val="ListParagraph"/>
        <w:rPr>
          <w:rFonts w:eastAsia="Times New Roman" w:cstheme="minorHAnsi"/>
          <w:color w:val="000000" w:themeColor="text1"/>
          <w:sz w:val="22"/>
          <w:szCs w:val="22"/>
        </w:rPr>
      </w:pPr>
      <w:r w:rsidRPr="0046626D">
        <w:rPr>
          <w:rFonts w:eastAsia="Times New Roman" w:cstheme="minorHAnsi"/>
          <w:color w:val="000000" w:themeColor="text1"/>
          <w:sz w:val="22"/>
          <w:szCs w:val="22"/>
        </w:rPr>
        <w:t>Correct Answer: A</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ind w:left="720"/>
        <w:rPr>
          <w:rFonts w:eastAsia="Times New Roman" w:cstheme="minorHAnsi"/>
          <w:color w:val="000000" w:themeColor="text1"/>
          <w:sz w:val="22"/>
          <w:szCs w:val="22"/>
        </w:rPr>
      </w:pPr>
      <w:r w:rsidRPr="0046626D">
        <w:rPr>
          <w:rFonts w:eastAsia="Times New Roman" w:cstheme="minorHAnsi"/>
          <w:color w:val="000000" w:themeColor="text1"/>
          <w:sz w:val="22"/>
          <w:szCs w:val="22"/>
        </w:rPr>
        <w:t xml:space="preserve">Rationale: </w:t>
      </w:r>
      <w:r w:rsidRPr="0046626D">
        <w:rPr>
          <w:rFonts w:eastAsia="Times New Roman" w:cstheme="minorHAnsi"/>
          <w:color w:val="000000" w:themeColor="text1"/>
          <w:sz w:val="22"/>
          <w:szCs w:val="22"/>
          <w:shd w:val="clear" w:color="auto" w:fill="FCFCFC"/>
        </w:rPr>
        <w:t xml:space="preserve">When more than 1 cell line is affected, the diagnosis of leukemia should be strongly considered. This child is also in the classic age-range for the development of ALL (toddlerhood) and displays several classical features of the disease including bruising and fevers. The CBC differential displays a lymphocytic predominance, a non-specific finding, but one that is classic for ALL. </w:t>
      </w:r>
    </w:p>
    <w:p w:rsidR="00A228E6" w:rsidRPr="0046626D" w:rsidRDefault="00A228E6" w:rsidP="00A228E6">
      <w:pPr>
        <w:rPr>
          <w:rFonts w:cstheme="minorHAnsi"/>
          <w:color w:val="000000" w:themeColor="text1"/>
          <w:sz w:val="22"/>
          <w:szCs w:val="22"/>
        </w:rPr>
      </w:pPr>
    </w:p>
    <w:p w:rsidR="00A228E6" w:rsidRPr="0046626D" w:rsidRDefault="00A228E6" w:rsidP="00A228E6">
      <w:pPr>
        <w:pStyle w:val="ListParagraph"/>
        <w:numPr>
          <w:ilvl w:val="0"/>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A 14-year-old girl is brought to the emergency department with a history of fatigue, pallor, and bruising. On physical examination the vital signs show a temperature of 100.0°F (37.8°C), a heart rate of 100 beats/min, a respiratory rate of 20 breaths/min, and BP of 110/65 mm Hg. Physical examination shows a pale adolescent in no acute distress. There is mild cervical adenopathy, and the lungs are clear. A grade 2/6 systolic murmur is heard. The abdomen is soft, with the spleen palpable 3 cm below the left costal margin. The liver is 1 cm below the right costal margin. Neurologic examination ﬁndings are normal. Extremities show scattered bruising. Laboratory data show a WBC count of 150,000/μL (150 x 10</w:t>
      </w:r>
      <w:r w:rsidRPr="0046626D">
        <w:rPr>
          <w:rFonts w:eastAsia="Times New Roman" w:cstheme="minorHAnsi"/>
          <w:color w:val="000000" w:themeColor="text1"/>
          <w:sz w:val="22"/>
          <w:szCs w:val="22"/>
          <w:shd w:val="clear" w:color="auto" w:fill="FFFFFF"/>
          <w:vertAlign w:val="superscript"/>
        </w:rPr>
        <w:t>9</w:t>
      </w:r>
      <w:r w:rsidRPr="0046626D">
        <w:rPr>
          <w:rFonts w:eastAsia="Times New Roman" w:cstheme="minorHAnsi"/>
          <w:color w:val="000000" w:themeColor="text1"/>
          <w:sz w:val="22"/>
          <w:szCs w:val="22"/>
          <w:shd w:val="clear" w:color="auto" w:fill="FFFFFF"/>
        </w:rPr>
        <w:t>/L); a hemoglobin level of 6 g/dL (60 g/L); a hematocrit value of 18%; a platelet count of 10 x 10</w:t>
      </w:r>
      <w:r w:rsidRPr="0046626D">
        <w:rPr>
          <w:rFonts w:eastAsia="Times New Roman" w:cstheme="minorHAnsi"/>
          <w:color w:val="000000" w:themeColor="text1"/>
          <w:sz w:val="22"/>
          <w:szCs w:val="22"/>
          <w:shd w:val="clear" w:color="auto" w:fill="FFFFFF"/>
          <w:vertAlign w:val="superscript"/>
        </w:rPr>
        <w:t>3</w:t>
      </w:r>
      <w:r w:rsidRPr="0046626D">
        <w:rPr>
          <w:rFonts w:eastAsia="Times New Roman" w:cstheme="minorHAnsi"/>
          <w:color w:val="000000" w:themeColor="text1"/>
          <w:sz w:val="22"/>
          <w:szCs w:val="22"/>
          <w:shd w:val="clear" w:color="auto" w:fill="FFFFFF"/>
        </w:rPr>
        <w:t>/μL (10 x 10</w:t>
      </w:r>
      <w:r w:rsidRPr="0046626D">
        <w:rPr>
          <w:rFonts w:eastAsia="Times New Roman" w:cstheme="minorHAnsi"/>
          <w:color w:val="000000" w:themeColor="text1"/>
          <w:sz w:val="22"/>
          <w:szCs w:val="22"/>
          <w:shd w:val="clear" w:color="auto" w:fill="FFFFFF"/>
          <w:vertAlign w:val="superscript"/>
        </w:rPr>
        <w:t>9</w:t>
      </w:r>
      <w:r w:rsidRPr="0046626D">
        <w:rPr>
          <w:rFonts w:eastAsia="Times New Roman" w:cstheme="minorHAnsi"/>
          <w:color w:val="000000" w:themeColor="text1"/>
          <w:sz w:val="22"/>
          <w:szCs w:val="22"/>
          <w:shd w:val="clear" w:color="auto" w:fill="FFFFFF"/>
        </w:rPr>
        <w:t>/L); a differential count of 95% atypical lymphocytes, 2% monocytes, and 3% neutrophils; a blood urea nitrogen level of 10 mg/dL (3.6 mmol/L); a creatinine level of 0.5 mg/dL (44.2 μmol/L); and a potassium level of 3.0 mEq/L (3.0 mmol/L). The patient is admitted to the hospital, and ﬂow cytometry on a bone marrow aspirate shows pre–B-cell acute lymphocytic leukemia. The girl begins chemotherapy with vincristine, doxorubicin, and prednisone, with planned L-asparaginase on day 4 of therapy. Twenty-four hours after beginning therapy the nurse calls and</w:t>
      </w:r>
      <w:r w:rsidRPr="0046626D">
        <w:rPr>
          <w:rFonts w:eastAsia="Times New Roman" w:cstheme="minorHAnsi"/>
          <w:color w:val="000000" w:themeColor="text1"/>
          <w:sz w:val="22"/>
          <w:szCs w:val="22"/>
        </w:rPr>
        <w:br/>
      </w:r>
      <w:r w:rsidRPr="0046626D">
        <w:rPr>
          <w:rFonts w:eastAsia="Times New Roman" w:cstheme="minorHAnsi"/>
          <w:color w:val="000000" w:themeColor="text1"/>
          <w:sz w:val="22"/>
          <w:szCs w:val="22"/>
          <w:shd w:val="clear" w:color="auto" w:fill="FFFFFF"/>
        </w:rPr>
        <w:lastRenderedPageBreak/>
        <w:t xml:space="preserve">says that the patient has not urinated in 8 hours. The blood pressure is now 140/90 mm Hg. Laboratory data show a blood urea nitrogen level of 30 mg/dL (10.7 mmol/L), a creatinine level of 2.5 mg/dL (221.0 μmol/L), a phosphorus level of 6 mg/dL (1.9 mmol/L), a calcium level of 7.5 mg/dL (1.9 mmol/L), a lipase level of 100 U/L (1.7 μkat/L), and a potassium level of 5.0 mEq/L (5.0 mmol/L). </w:t>
      </w:r>
    </w:p>
    <w:p w:rsidR="00A228E6" w:rsidRPr="0046626D" w:rsidRDefault="00A228E6" w:rsidP="00A228E6">
      <w:pPr>
        <w:pStyle w:val="ListParagraph"/>
        <w:rPr>
          <w:rFonts w:eastAsia="Times New Roman" w:cstheme="minorHAnsi"/>
          <w:color w:val="000000" w:themeColor="text1"/>
          <w:sz w:val="22"/>
          <w:szCs w:val="22"/>
          <w:shd w:val="clear" w:color="auto" w:fill="FFFFFF"/>
        </w:rPr>
      </w:pPr>
    </w:p>
    <w:p w:rsidR="00A228E6" w:rsidRPr="0046626D" w:rsidRDefault="00A228E6" w:rsidP="00A228E6">
      <w:pPr>
        <w:pStyle w:val="ListParagraph"/>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Which of the following is the most likely explanation for the change in the patient’s status and laboratory data?</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Cardiac Failure</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Dehydration</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Gastrointestinal bleeding</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Pancreatitis</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Tumor Lysis Syndrome</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pStyle w:val="ListParagraph"/>
        <w:rPr>
          <w:rFonts w:eastAsia="Times New Roman" w:cstheme="minorHAnsi"/>
          <w:color w:val="000000" w:themeColor="text1"/>
          <w:sz w:val="22"/>
          <w:szCs w:val="22"/>
        </w:rPr>
      </w:pPr>
      <w:r w:rsidRPr="0046626D">
        <w:rPr>
          <w:rFonts w:eastAsia="Times New Roman" w:cstheme="minorHAnsi"/>
          <w:color w:val="000000" w:themeColor="text1"/>
          <w:sz w:val="22"/>
          <w:szCs w:val="22"/>
        </w:rPr>
        <w:t>Correct Answer: E</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ind w:left="720"/>
        <w:rPr>
          <w:rFonts w:eastAsia="Times New Roman" w:cstheme="minorHAnsi"/>
          <w:color w:val="000000" w:themeColor="text1"/>
          <w:sz w:val="22"/>
          <w:szCs w:val="22"/>
        </w:rPr>
      </w:pPr>
      <w:r w:rsidRPr="0046626D">
        <w:rPr>
          <w:rFonts w:eastAsia="Times New Roman" w:cstheme="minorHAnsi"/>
          <w:color w:val="000000" w:themeColor="text1"/>
          <w:sz w:val="22"/>
          <w:szCs w:val="22"/>
        </w:rPr>
        <w:t>Rationale: This patient with known pre-B-ALL has developed findings of TLS including oliguric AKI, hyperkalemia, hyperphosphatemia, hyperuricemia, and hypocalcemia. This patient’s WBC count at presentation is greater than 100,000, an independent risk factor for the development of TLS. Though this patient’s TLS presented after initiation of induction chemotherapy, TLS can be seen spontaneously, usually in association with AML and in patients with high tumor burden (WBC &gt;100,000).</w:t>
      </w:r>
    </w:p>
    <w:p w:rsidR="00A228E6" w:rsidRPr="0046626D" w:rsidRDefault="00A228E6" w:rsidP="00A228E6">
      <w:pPr>
        <w:ind w:left="720"/>
        <w:rPr>
          <w:rFonts w:eastAsia="Times New Roman" w:cstheme="minorHAnsi"/>
          <w:color w:val="000000" w:themeColor="text1"/>
          <w:sz w:val="22"/>
          <w:szCs w:val="22"/>
        </w:rPr>
      </w:pPr>
    </w:p>
    <w:p w:rsidR="00A228E6" w:rsidRPr="0046626D" w:rsidRDefault="00A228E6" w:rsidP="00A228E6">
      <w:pPr>
        <w:pStyle w:val="ListParagraph"/>
        <w:numPr>
          <w:ilvl w:val="0"/>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 xml:space="preserve">A 15-year-old boy is brought to the ofﬁce for routine health care maintenance. He has been generally doing well, but his medical history is signiﬁcant for acute myelogenous leukemia treated with cytarabine, daunorubicin, etoposide, and mitoxantrone. He has been off therapy and in continuous remission for 7 years and is doing well in school. His physical examination shows no abnormalities. He is Tanner stage 4. </w:t>
      </w:r>
    </w:p>
    <w:p w:rsidR="00A228E6" w:rsidRPr="0046626D" w:rsidRDefault="00A228E6" w:rsidP="00A228E6">
      <w:pPr>
        <w:pStyle w:val="ListParagraph"/>
        <w:rPr>
          <w:rFonts w:eastAsia="Times New Roman" w:cstheme="minorHAnsi"/>
          <w:color w:val="000000" w:themeColor="text1"/>
          <w:sz w:val="22"/>
          <w:szCs w:val="22"/>
          <w:shd w:val="clear" w:color="auto" w:fill="FFFFFF"/>
        </w:rPr>
      </w:pPr>
    </w:p>
    <w:p w:rsidR="00A228E6" w:rsidRPr="0046626D" w:rsidRDefault="00A228E6" w:rsidP="00A228E6">
      <w:pPr>
        <w:pStyle w:val="ListParagraph"/>
        <w:rPr>
          <w:rFonts w:eastAsia="Times New Roman" w:cstheme="minorHAnsi"/>
          <w:color w:val="000000" w:themeColor="text1"/>
          <w:sz w:val="22"/>
          <w:szCs w:val="22"/>
          <w:shd w:val="clear" w:color="auto" w:fill="FFFFFF"/>
        </w:rPr>
      </w:pPr>
      <w:r w:rsidRPr="0046626D">
        <w:rPr>
          <w:rFonts w:eastAsia="Times New Roman" w:cstheme="minorHAnsi"/>
          <w:color w:val="000000" w:themeColor="text1"/>
          <w:sz w:val="22"/>
          <w:szCs w:val="22"/>
          <w:shd w:val="clear" w:color="auto" w:fill="FFFFFF"/>
        </w:rPr>
        <w:t>Which of the following is the most appropriate test to perform in this patient?</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Echocardiography</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Hearing Evaluation</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Hemoglobin A1c</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Serum Follicle-Stimulating Hormone, Luteinizing Hormone, and Testosterone</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Radiographs of the Hips</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pStyle w:val="ListParagraph"/>
        <w:rPr>
          <w:rFonts w:eastAsia="Times New Roman" w:cstheme="minorHAnsi"/>
          <w:color w:val="000000" w:themeColor="text1"/>
          <w:sz w:val="22"/>
          <w:szCs w:val="22"/>
        </w:rPr>
      </w:pPr>
      <w:r w:rsidRPr="0046626D">
        <w:rPr>
          <w:rFonts w:eastAsia="Times New Roman" w:cstheme="minorHAnsi"/>
          <w:color w:val="000000" w:themeColor="text1"/>
          <w:sz w:val="22"/>
          <w:szCs w:val="22"/>
        </w:rPr>
        <w:t>Correct Answer: A</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ind w:left="720"/>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rPr>
        <w:t xml:space="preserve">Rationale: </w:t>
      </w:r>
      <w:r w:rsidRPr="0046626D">
        <w:rPr>
          <w:rFonts w:eastAsia="Times New Roman" w:cstheme="minorHAnsi"/>
          <w:color w:val="000000" w:themeColor="text1"/>
          <w:sz w:val="22"/>
          <w:szCs w:val="22"/>
          <w:shd w:val="clear" w:color="auto" w:fill="FCFCFC"/>
        </w:rPr>
        <w:t xml:space="preserve">Long-term cardiac toxicity is a concern in patients with leukemia secondary to the use of anthracyclines (Daunorubicin and Doxorubicin). The risk of cardiotoxicity is directly related to the total dose used. The best test for evaluation of cardiotoxicity in these patients is echocardiography. </w:t>
      </w:r>
    </w:p>
    <w:p w:rsidR="00A228E6" w:rsidRPr="0046626D" w:rsidRDefault="00A228E6" w:rsidP="00A228E6">
      <w:pPr>
        <w:ind w:left="720"/>
        <w:rPr>
          <w:rFonts w:eastAsia="Times New Roman" w:cstheme="minorHAnsi"/>
          <w:color w:val="000000" w:themeColor="text1"/>
          <w:sz w:val="22"/>
          <w:szCs w:val="22"/>
          <w:shd w:val="clear" w:color="auto" w:fill="FCFCFC"/>
        </w:rPr>
      </w:pPr>
    </w:p>
    <w:p w:rsidR="00A228E6" w:rsidRPr="0046626D" w:rsidRDefault="00A228E6" w:rsidP="00A228E6">
      <w:pPr>
        <w:ind w:left="720"/>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 xml:space="preserve">Hearing evaluation could be considered in patients treated with platinum-based chemotherapeutics to screen for ototoxicity. A1c screening should be continued based on guidelines for children who have not received chemotherapy. Endocrinopathies are possible in patients having been treated for oncologic conditions but are most common in those that </w:t>
      </w:r>
      <w:r w:rsidRPr="0046626D">
        <w:rPr>
          <w:rFonts w:eastAsia="Times New Roman" w:cstheme="minorHAnsi"/>
          <w:color w:val="000000" w:themeColor="text1"/>
          <w:sz w:val="22"/>
          <w:szCs w:val="22"/>
          <w:shd w:val="clear" w:color="auto" w:fill="FCFCFC"/>
        </w:rPr>
        <w:lastRenderedPageBreak/>
        <w:t xml:space="preserve">received cranial radiation or resection of posterior-fossa tumors. This patient’s tanner stage is appropriate for age, making endocrinopathy less likely. Radiography of the hips is useful for evaluating osteonecrosis, a complication related to glucocorticoid use, which is a common chemotherapeutic agent, but not mentioned in this question.  </w:t>
      </w:r>
    </w:p>
    <w:p w:rsidR="00A228E6" w:rsidRPr="0046626D" w:rsidRDefault="00A228E6" w:rsidP="00A228E6">
      <w:pPr>
        <w:ind w:left="720"/>
        <w:rPr>
          <w:rFonts w:eastAsia="Times New Roman" w:cstheme="minorHAnsi"/>
          <w:color w:val="000000" w:themeColor="text1"/>
          <w:sz w:val="22"/>
          <w:szCs w:val="22"/>
          <w:shd w:val="clear" w:color="auto" w:fill="FCFCFC"/>
        </w:rPr>
      </w:pPr>
    </w:p>
    <w:p w:rsidR="00A228E6" w:rsidRPr="0046626D" w:rsidRDefault="00A228E6" w:rsidP="00A228E6">
      <w:pPr>
        <w:pStyle w:val="ListParagraph"/>
        <w:numPr>
          <w:ilvl w:val="0"/>
          <w:numId w:val="1"/>
        </w:numPr>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The most urgent complication in a patient with Non-Hodgkin’s Lymphoma that needs to be evaluated at diagnosis and followed closely is:</w:t>
      </w:r>
    </w:p>
    <w:p w:rsidR="00A228E6" w:rsidRPr="0046626D" w:rsidRDefault="00A228E6" w:rsidP="00A228E6">
      <w:pPr>
        <w:pStyle w:val="ListParagraph"/>
        <w:rPr>
          <w:rFonts w:eastAsia="Times New Roman" w:cstheme="minorHAnsi"/>
          <w:color w:val="000000" w:themeColor="text1"/>
          <w:sz w:val="22"/>
          <w:szCs w:val="22"/>
          <w:shd w:val="clear" w:color="auto" w:fill="FCFCFC"/>
        </w:rPr>
      </w:pPr>
    </w:p>
    <w:p w:rsidR="00A228E6" w:rsidRPr="0046626D" w:rsidRDefault="00A228E6" w:rsidP="00A228E6">
      <w:pPr>
        <w:pStyle w:val="ListParagraph"/>
        <w:numPr>
          <w:ilvl w:val="1"/>
          <w:numId w:val="1"/>
        </w:numPr>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An elevated WBC &gt; 50,000</w:t>
      </w:r>
    </w:p>
    <w:p w:rsidR="00A228E6" w:rsidRPr="0046626D" w:rsidRDefault="00A228E6" w:rsidP="00A228E6">
      <w:pPr>
        <w:pStyle w:val="ListParagraph"/>
        <w:numPr>
          <w:ilvl w:val="1"/>
          <w:numId w:val="1"/>
        </w:numPr>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A uric acid of 5.0</w:t>
      </w:r>
    </w:p>
    <w:p w:rsidR="00A228E6" w:rsidRPr="0046626D" w:rsidRDefault="00A228E6" w:rsidP="00A228E6">
      <w:pPr>
        <w:pStyle w:val="ListParagraph"/>
        <w:numPr>
          <w:ilvl w:val="1"/>
          <w:numId w:val="1"/>
        </w:numPr>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A mediastinal mass</w:t>
      </w:r>
    </w:p>
    <w:p w:rsidR="00A228E6" w:rsidRPr="0046626D" w:rsidRDefault="00A228E6" w:rsidP="00A228E6">
      <w:pPr>
        <w:pStyle w:val="ListParagraph"/>
        <w:numPr>
          <w:ilvl w:val="1"/>
          <w:numId w:val="1"/>
        </w:numPr>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Complaints of left flank pain</w:t>
      </w:r>
    </w:p>
    <w:p w:rsidR="00A228E6" w:rsidRPr="0046626D" w:rsidRDefault="00A228E6" w:rsidP="00A228E6">
      <w:pPr>
        <w:pStyle w:val="ListParagraph"/>
        <w:ind w:left="1440"/>
        <w:rPr>
          <w:rFonts w:eastAsia="Times New Roman" w:cstheme="minorHAnsi"/>
          <w:color w:val="000000" w:themeColor="text1"/>
          <w:sz w:val="22"/>
          <w:szCs w:val="22"/>
          <w:shd w:val="clear" w:color="auto" w:fill="FCFCFC"/>
        </w:rPr>
      </w:pPr>
    </w:p>
    <w:p w:rsidR="00A228E6" w:rsidRPr="0046626D" w:rsidRDefault="00A228E6" w:rsidP="00A228E6">
      <w:pPr>
        <w:pStyle w:val="ListParagraph"/>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Correct Answer: C</w:t>
      </w:r>
    </w:p>
    <w:p w:rsidR="00A228E6" w:rsidRPr="0046626D" w:rsidRDefault="00A228E6" w:rsidP="00A228E6">
      <w:pPr>
        <w:pStyle w:val="ListParagraph"/>
        <w:rPr>
          <w:rFonts w:eastAsia="Times New Roman" w:cstheme="minorHAnsi"/>
          <w:color w:val="000000" w:themeColor="text1"/>
          <w:sz w:val="22"/>
          <w:szCs w:val="22"/>
          <w:shd w:val="clear" w:color="auto" w:fill="FCFCFC"/>
        </w:rPr>
      </w:pPr>
    </w:p>
    <w:p w:rsidR="00A228E6" w:rsidRPr="0046626D" w:rsidRDefault="00A228E6" w:rsidP="00A228E6">
      <w:pPr>
        <w:pStyle w:val="ListParagraph"/>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Rationale: The presence of mediastinal mass should be ruled out with all new patients with Non-Hodgkin’s lymphoma. Approximately 25% of patient with NHL have a mediastinal mass and may present with cough. Depending on the size of the mass, there can be obstructive complications including superior vena cava syndrome (due to venous obstruction), cardiac tamponade (due to impaired RV filling and potentially leading to cardiogenic shock), and respiratory compromise (due to tracheal or more distal airway obstruction).</w:t>
      </w:r>
    </w:p>
    <w:p w:rsidR="00A228E6" w:rsidRPr="0046626D" w:rsidRDefault="00A228E6" w:rsidP="00A228E6">
      <w:pPr>
        <w:pStyle w:val="ListParagraph"/>
        <w:rPr>
          <w:rFonts w:eastAsia="Times New Roman" w:cstheme="minorHAnsi"/>
          <w:color w:val="000000" w:themeColor="text1"/>
          <w:sz w:val="22"/>
          <w:szCs w:val="22"/>
          <w:shd w:val="clear" w:color="auto" w:fill="FCFCFC"/>
        </w:rPr>
      </w:pPr>
    </w:p>
    <w:p w:rsidR="00A228E6" w:rsidRPr="0046626D" w:rsidRDefault="00A228E6" w:rsidP="00A228E6">
      <w:pPr>
        <w:pStyle w:val="ListParagraph"/>
        <w:numPr>
          <w:ilvl w:val="0"/>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A 10-year-old girl presents with cervical lymphadenopathy and dyspnea. She is found to have a large mediastinal mass and pancytopenia. On day 3 of chemotherapy she has a serum potassium level of 6.2 mEq/L (6.2 mmol/L), a serum calcium level of 6.0 mg/dL (1.5 mmol/L), a serum phosphorus level of 7 mg/dL (2.3 mmol/L), and a serum uric acid level of 10 mg/dL (594.9 </w:t>
      </w:r>
      <w:r w:rsidRPr="0046626D">
        <w:rPr>
          <w:rFonts w:eastAsia="Times New Roman" w:cstheme="minorHAnsi"/>
          <w:i/>
          <w:iCs/>
          <w:color w:val="000000" w:themeColor="text1"/>
          <w:sz w:val="22"/>
          <w:szCs w:val="22"/>
          <w:shd w:val="clear" w:color="auto" w:fill="FFFFFF"/>
        </w:rPr>
        <w:t>μ</w:t>
      </w:r>
      <w:r w:rsidRPr="0046626D">
        <w:rPr>
          <w:rFonts w:eastAsia="Times New Roman" w:cstheme="minorHAnsi"/>
          <w:color w:val="000000" w:themeColor="text1"/>
          <w:sz w:val="22"/>
          <w:szCs w:val="22"/>
          <w:shd w:val="clear" w:color="auto" w:fill="FFFFFF"/>
        </w:rPr>
        <w:t xml:space="preserve">mol/L). </w:t>
      </w:r>
    </w:p>
    <w:p w:rsidR="00A228E6" w:rsidRPr="0046626D" w:rsidRDefault="00A228E6" w:rsidP="00A228E6">
      <w:pPr>
        <w:pStyle w:val="ListParagraph"/>
        <w:rPr>
          <w:rFonts w:eastAsia="Times New Roman" w:cstheme="minorHAnsi"/>
          <w:color w:val="000000" w:themeColor="text1"/>
          <w:sz w:val="22"/>
          <w:szCs w:val="22"/>
        </w:rPr>
      </w:pPr>
    </w:p>
    <w:p w:rsidR="00A228E6" w:rsidRPr="0046626D" w:rsidRDefault="00A228E6" w:rsidP="00A228E6">
      <w:pPr>
        <w:pStyle w:val="ListParagraph"/>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Which of the following is the most appropriate management plan for this patient?</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Cardiac telemetry and administration of rasburicase</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Maintenance fluid hydration and repeat laboratory studies in 24 hours</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Measurement of cardiac ejection fraction and administration of allopurinol</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Monitoring of urine output and administration of allopurinol</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Monitoring of urine pH and administration of rasburicase</w:t>
      </w:r>
    </w:p>
    <w:p w:rsidR="00A228E6" w:rsidRPr="0046626D" w:rsidRDefault="00A228E6" w:rsidP="00A228E6">
      <w:pPr>
        <w:pStyle w:val="ListParagraph"/>
        <w:ind w:left="1440"/>
        <w:rPr>
          <w:rFonts w:eastAsia="Times New Roman" w:cstheme="minorHAnsi"/>
          <w:color w:val="000000" w:themeColor="text1"/>
          <w:sz w:val="22"/>
          <w:szCs w:val="22"/>
        </w:rPr>
      </w:pPr>
    </w:p>
    <w:p w:rsidR="00A228E6" w:rsidRPr="0046626D" w:rsidRDefault="00A228E6" w:rsidP="00A228E6">
      <w:pPr>
        <w:pStyle w:val="ListParagraph"/>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shd w:val="clear" w:color="auto" w:fill="FCFCFC"/>
        </w:rPr>
        <w:t>Correct Answer: A</w:t>
      </w:r>
    </w:p>
    <w:p w:rsidR="00A228E6" w:rsidRPr="0046626D" w:rsidRDefault="00A228E6" w:rsidP="00A228E6">
      <w:pPr>
        <w:pStyle w:val="ListParagraph"/>
        <w:rPr>
          <w:rFonts w:eastAsia="Times New Roman" w:cstheme="minorHAnsi"/>
          <w:color w:val="000000" w:themeColor="text1"/>
          <w:sz w:val="22"/>
          <w:szCs w:val="22"/>
          <w:shd w:val="clear" w:color="auto" w:fill="FCFCFC"/>
        </w:rPr>
      </w:pPr>
    </w:p>
    <w:p w:rsidR="00A228E6" w:rsidRDefault="00A228E6" w:rsidP="00A228E6">
      <w:pPr>
        <w:ind w:left="720"/>
        <w:rPr>
          <w:rFonts w:eastAsia="Times New Roman" w:cstheme="minorHAnsi"/>
          <w:color w:val="000000" w:themeColor="text1"/>
          <w:sz w:val="22"/>
          <w:szCs w:val="22"/>
          <w:shd w:val="clear" w:color="auto" w:fill="FCFCFC"/>
        </w:rPr>
      </w:pPr>
      <w:r w:rsidRPr="0046626D">
        <w:rPr>
          <w:rFonts w:eastAsia="Times New Roman" w:cstheme="minorHAnsi"/>
          <w:color w:val="000000" w:themeColor="text1"/>
          <w:sz w:val="22"/>
          <w:szCs w:val="22"/>
        </w:rPr>
        <w:t xml:space="preserve">Rationale: </w:t>
      </w:r>
      <w:r w:rsidRPr="0046626D">
        <w:rPr>
          <w:rFonts w:eastAsia="Times New Roman" w:cstheme="minorHAnsi"/>
          <w:color w:val="000000" w:themeColor="text1"/>
          <w:sz w:val="22"/>
          <w:szCs w:val="22"/>
          <w:shd w:val="clear" w:color="auto" w:fill="FCFCFC"/>
        </w:rPr>
        <w:t>In patients who present with high serum levels of uric acid, allopurinol is an ineffective treatment because it does not directly reduce the uric acid that has already accumulated in the serum. Patients with hyperuricemia should receive rasburicase, a recombinant urate oxidase that converts uric acid to water-soluble allantoin. Indications for rasburicase vary but generally include a serum uric acid level greater than 8 mg/dL (&gt;475.88 μmol/L), a rapid increased in uric acid level (a 25% increase from baseline), or a suboptimal response to hyperhydration and allopurinol therapy. Rasburicase is administered intravenously at a dose of 0.1 to 0.2 mg/kg as a single dose. </w:t>
      </w:r>
    </w:p>
    <w:p w:rsidR="006108B5" w:rsidRDefault="006108B5" w:rsidP="00A228E6">
      <w:pPr>
        <w:ind w:left="720"/>
        <w:rPr>
          <w:rFonts w:eastAsia="Times New Roman" w:cstheme="minorHAnsi"/>
          <w:color w:val="000000" w:themeColor="text1"/>
          <w:sz w:val="22"/>
          <w:szCs w:val="22"/>
          <w:shd w:val="clear" w:color="auto" w:fill="FCFCFC"/>
        </w:rPr>
      </w:pPr>
    </w:p>
    <w:p w:rsidR="006108B5" w:rsidRDefault="006108B5" w:rsidP="00072607">
      <w:pPr>
        <w:ind w:left="720"/>
        <w:rPr>
          <w:sz w:val="22"/>
          <w:szCs w:val="22"/>
        </w:rPr>
      </w:pPr>
      <w:r>
        <w:rPr>
          <w:rFonts w:eastAsia="Times New Roman" w:cstheme="minorHAnsi"/>
          <w:color w:val="000000" w:themeColor="text1"/>
          <w:sz w:val="22"/>
          <w:szCs w:val="22"/>
        </w:rPr>
        <w:t>**</w:t>
      </w:r>
      <w:r>
        <w:rPr>
          <w:sz w:val="22"/>
          <w:szCs w:val="22"/>
        </w:rPr>
        <w:t>Keep in mind!</w:t>
      </w:r>
      <w:r>
        <w:rPr>
          <w:sz w:val="22"/>
          <w:szCs w:val="22"/>
        </w:rPr>
        <w:t xml:space="preserve"> </w:t>
      </w:r>
      <w:r>
        <w:rPr>
          <w:sz w:val="22"/>
          <w:szCs w:val="22"/>
        </w:rPr>
        <w:t>R</w:t>
      </w:r>
      <w:r>
        <w:rPr>
          <w:sz w:val="22"/>
          <w:szCs w:val="22"/>
        </w:rPr>
        <w:t xml:space="preserve">asburicase can cause hemolytic anemia in patients who are G6PD deficient. G6PD should be tested if possible before administration. This isn’t always feasible, however, if </w:t>
      </w:r>
      <w:r>
        <w:rPr>
          <w:sz w:val="22"/>
          <w:szCs w:val="22"/>
        </w:rPr>
        <w:lastRenderedPageBreak/>
        <w:t>the indication for rasburicase is emergent. In that case, monitoring for development of hemolysis after administration of rasburicase.</w:t>
      </w:r>
      <w:r w:rsidR="00072607">
        <w:rPr>
          <w:sz w:val="22"/>
          <w:szCs w:val="22"/>
        </w:rPr>
        <w:t xml:space="preserve"> </w:t>
      </w:r>
      <w:bookmarkStart w:id="0" w:name="_GoBack"/>
      <w:bookmarkEnd w:id="0"/>
      <w:r w:rsidR="00072607">
        <w:fldChar w:fldCharType="begin"/>
      </w:r>
      <w:r w:rsidR="00072607">
        <w:instrText xml:space="preserve"> HYPERLINK "</w:instrText>
      </w:r>
      <w:r w:rsidR="00072607" w:rsidRPr="00072607">
        <w:instrText>https://www.ncbi.nlm.nih.gov/pmc/articles/PMC4341417/</w:instrText>
      </w:r>
      <w:r w:rsidR="00072607">
        <w:instrText xml:space="preserve">" </w:instrText>
      </w:r>
      <w:r w:rsidR="00072607">
        <w:fldChar w:fldCharType="separate"/>
      </w:r>
      <w:r w:rsidR="00072607" w:rsidRPr="00493C51">
        <w:rPr>
          <w:rStyle w:val="Hyperlink"/>
        </w:rPr>
        <w:t>https://www.ncbi.nlm.nih.gov/pmc/articles/PMC4341417/</w:t>
      </w:r>
      <w:r w:rsidR="00072607">
        <w:fldChar w:fldCharType="end"/>
      </w:r>
    </w:p>
    <w:p w:rsidR="006108B5" w:rsidRPr="0046626D" w:rsidRDefault="006108B5" w:rsidP="00A228E6">
      <w:pPr>
        <w:ind w:left="720"/>
        <w:rPr>
          <w:rFonts w:eastAsia="Times New Roman" w:cstheme="minorHAnsi"/>
          <w:color w:val="000000" w:themeColor="text1"/>
          <w:sz w:val="22"/>
          <w:szCs w:val="22"/>
          <w:shd w:val="clear" w:color="auto" w:fill="FCFCFC"/>
        </w:rPr>
      </w:pPr>
    </w:p>
    <w:p w:rsidR="00A228E6" w:rsidRPr="0046626D" w:rsidRDefault="00A228E6" w:rsidP="00A228E6">
      <w:pPr>
        <w:ind w:left="720"/>
        <w:rPr>
          <w:rFonts w:eastAsia="Times New Roman" w:cstheme="minorHAnsi"/>
          <w:color w:val="000000" w:themeColor="text1"/>
          <w:sz w:val="22"/>
          <w:szCs w:val="22"/>
        </w:rPr>
      </w:pPr>
    </w:p>
    <w:p w:rsidR="00A228E6" w:rsidRPr="0046626D" w:rsidRDefault="00A228E6" w:rsidP="00A228E6">
      <w:pPr>
        <w:pStyle w:val="ListParagraph"/>
        <w:numPr>
          <w:ilvl w:val="0"/>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shd w:val="clear" w:color="auto" w:fill="FFFFFF"/>
        </w:rPr>
        <w:t xml:space="preserve">A 4-year-old boy is brought to the clinic for evaluation of a 2-month history of bone pain and recurrent fever. He is found to have hepatosplenomegaly and pancytopenia. Serum uric acid and potassium levels are within the reference range but there is hypocalcemia and hyperphosphatemia. </w:t>
      </w:r>
    </w:p>
    <w:p w:rsidR="00A228E6" w:rsidRPr="0046626D" w:rsidRDefault="00A228E6" w:rsidP="00A228E6">
      <w:pPr>
        <w:pStyle w:val="ListParagraph"/>
        <w:rPr>
          <w:rFonts w:eastAsia="Times New Roman" w:cstheme="minorHAnsi"/>
          <w:color w:val="000000" w:themeColor="text1"/>
          <w:sz w:val="22"/>
          <w:szCs w:val="22"/>
          <w:shd w:val="clear" w:color="auto" w:fill="FFFFFF"/>
        </w:rPr>
      </w:pPr>
    </w:p>
    <w:p w:rsidR="00A228E6" w:rsidRPr="0046626D" w:rsidRDefault="00A228E6" w:rsidP="00A228E6">
      <w:pPr>
        <w:pStyle w:val="ListParagraph"/>
        <w:rPr>
          <w:rFonts w:eastAsia="Times New Roman" w:cstheme="minorHAnsi"/>
          <w:color w:val="000000" w:themeColor="text1"/>
          <w:sz w:val="22"/>
          <w:szCs w:val="22"/>
          <w:shd w:val="clear" w:color="auto" w:fill="FFFFFF"/>
        </w:rPr>
      </w:pPr>
      <w:r w:rsidRPr="0046626D">
        <w:rPr>
          <w:rFonts w:eastAsia="Times New Roman" w:cstheme="minorHAnsi"/>
          <w:color w:val="000000" w:themeColor="text1"/>
          <w:sz w:val="22"/>
          <w:szCs w:val="22"/>
          <w:shd w:val="clear" w:color="auto" w:fill="FFFFFF"/>
        </w:rPr>
        <w:t>Which of the following is the most appropriate initial management for this patient?</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Hyperhydration and alkalization to maintain urine pH 6.5 to 7.5</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Hyperhydration and allopurinol therapy</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Maintenance hydration and allopurinol therapy</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Maintenance hydration and calcium carbonate supplementation</w:t>
      </w:r>
    </w:p>
    <w:p w:rsidR="00A228E6" w:rsidRPr="0046626D" w:rsidRDefault="00A228E6" w:rsidP="00A228E6">
      <w:pPr>
        <w:pStyle w:val="ListParagraph"/>
        <w:numPr>
          <w:ilvl w:val="1"/>
          <w:numId w:val="1"/>
        </w:numPr>
        <w:rPr>
          <w:rFonts w:eastAsia="Times New Roman" w:cstheme="minorHAnsi"/>
          <w:color w:val="000000" w:themeColor="text1"/>
          <w:sz w:val="22"/>
          <w:szCs w:val="22"/>
        </w:rPr>
      </w:pPr>
      <w:r w:rsidRPr="0046626D">
        <w:rPr>
          <w:rFonts w:eastAsia="Times New Roman" w:cstheme="minorHAnsi"/>
          <w:color w:val="000000" w:themeColor="text1"/>
          <w:sz w:val="22"/>
          <w:szCs w:val="22"/>
        </w:rPr>
        <w:t>Maintenance hydration and parenteral calcium therapy</w:t>
      </w:r>
    </w:p>
    <w:p w:rsidR="00A228E6" w:rsidRPr="0046626D" w:rsidRDefault="00A228E6" w:rsidP="00A228E6">
      <w:pPr>
        <w:ind w:firstLine="360"/>
        <w:rPr>
          <w:rFonts w:eastAsia="Times New Roman" w:cstheme="minorHAnsi"/>
          <w:color w:val="000000" w:themeColor="text1"/>
          <w:sz w:val="22"/>
          <w:szCs w:val="22"/>
        </w:rPr>
      </w:pPr>
    </w:p>
    <w:p w:rsidR="00A228E6" w:rsidRPr="0046626D" w:rsidRDefault="00A228E6" w:rsidP="00A228E6">
      <w:pPr>
        <w:ind w:firstLine="720"/>
        <w:rPr>
          <w:rFonts w:eastAsia="Times New Roman" w:cstheme="minorHAnsi"/>
          <w:color w:val="000000" w:themeColor="text1"/>
          <w:sz w:val="22"/>
          <w:szCs w:val="22"/>
        </w:rPr>
      </w:pPr>
      <w:r w:rsidRPr="0046626D">
        <w:rPr>
          <w:rFonts w:eastAsia="Times New Roman" w:cstheme="minorHAnsi"/>
          <w:color w:val="000000" w:themeColor="text1"/>
          <w:sz w:val="22"/>
          <w:szCs w:val="22"/>
        </w:rPr>
        <w:t>Correct Answer: B</w:t>
      </w:r>
    </w:p>
    <w:p w:rsidR="00A228E6" w:rsidRPr="0046626D" w:rsidRDefault="00A228E6" w:rsidP="00A228E6">
      <w:pPr>
        <w:ind w:left="360"/>
        <w:rPr>
          <w:rFonts w:eastAsia="Times New Roman" w:cstheme="minorHAnsi"/>
          <w:color w:val="000000" w:themeColor="text1"/>
          <w:sz w:val="22"/>
          <w:szCs w:val="22"/>
        </w:rPr>
      </w:pPr>
    </w:p>
    <w:p w:rsidR="00A228E6" w:rsidRPr="0046626D" w:rsidRDefault="00A228E6" w:rsidP="00A228E6">
      <w:pPr>
        <w:ind w:left="720"/>
        <w:rPr>
          <w:rFonts w:eastAsia="Times New Roman" w:cstheme="minorHAnsi"/>
          <w:color w:val="000000" w:themeColor="text1"/>
          <w:sz w:val="22"/>
          <w:szCs w:val="22"/>
        </w:rPr>
      </w:pPr>
      <w:r w:rsidRPr="0046626D">
        <w:rPr>
          <w:rFonts w:eastAsia="Times New Roman" w:cstheme="minorHAnsi"/>
          <w:color w:val="000000" w:themeColor="text1"/>
          <w:sz w:val="22"/>
          <w:szCs w:val="22"/>
        </w:rPr>
        <w:t xml:space="preserve">Rationale: </w:t>
      </w:r>
      <w:r w:rsidRPr="0046626D">
        <w:rPr>
          <w:rFonts w:eastAsia="Times New Roman" w:cstheme="minorHAnsi"/>
          <w:color w:val="000000" w:themeColor="text1"/>
          <w:sz w:val="22"/>
          <w:szCs w:val="22"/>
          <w:shd w:val="clear" w:color="auto" w:fill="FCFCFC"/>
        </w:rPr>
        <w:t>All pediatric patients at intermediate or high risk for TLS should continue to receive intravenous hydration to optimize kidney function and minimize acidosis. This is often achieved with hyperhydration using 1.5 to 2 times maintenance intravenous fluids (without potassium), or 2,500 to 3,000 mL/m</w:t>
      </w:r>
      <w:r w:rsidRPr="0046626D">
        <w:rPr>
          <w:rFonts w:eastAsia="Times New Roman" w:cstheme="minorHAnsi"/>
          <w:color w:val="000000" w:themeColor="text1"/>
          <w:sz w:val="22"/>
          <w:szCs w:val="22"/>
          <w:shd w:val="clear" w:color="auto" w:fill="FCFCFC"/>
          <w:vertAlign w:val="superscript"/>
        </w:rPr>
        <w:t>2</w:t>
      </w:r>
      <w:r w:rsidRPr="0046626D">
        <w:rPr>
          <w:rFonts w:eastAsia="Times New Roman" w:cstheme="minorHAnsi"/>
          <w:color w:val="000000" w:themeColor="text1"/>
          <w:sz w:val="22"/>
          <w:szCs w:val="22"/>
          <w:shd w:val="clear" w:color="auto" w:fill="FCFCFC"/>
        </w:rPr>
        <w:t> per day to maintain urine output of 3 to 5 mL/kg per hour. Close laboratory monitoring for fluid overload and third spacing is important. Although hydration is the preferred method of optimizing urine output, loop diuretics may also be used. If oliguria occurs or persists despite aggressive hydration and diuretics, evaluation by a pediatric nephrologist is highly recommended. Close monitoring of laboratory TLS is also a key strategy through serial measurements of serum uric acid, potassium, phosphorus, calcium, and creatinine levels. Patients with HRD should have these tests measured every 4 to 8 hours; patients with intermediate-risk disease (IRD) should undergo laboratory testing every 8 to 12 hours; and patients with LRD may need testing only once or twice daily. TLS burden for IRD and HRD tends to peak around day 3 of cytoreductive chemotherapy, but TLS can occur as far as 7 days after treatment initiation. (8) Prophylaxis for and treatment of hyperuricemia is aimed at maintaining normal serum levels of uric acid. For patients with IRD or HRD with normal or mildly elevated serum uric acid levels, allopurinol should be administered to prevent uric acid formation. Allopurinol, a xanthine oxidase inhibitor, is effective at inhibiting new uric acid formation and is an appropriate first-line therapy for patients without significantly elevated serum uric acid levels</w:t>
      </w:r>
      <w:r w:rsidRPr="0046626D">
        <w:rPr>
          <w:rFonts w:eastAsia="Times New Roman" w:cstheme="minorHAnsi"/>
          <w:color w:val="000000" w:themeColor="text1"/>
          <w:sz w:val="22"/>
          <w:szCs w:val="22"/>
        </w:rPr>
        <w:t xml:space="preserve">. </w:t>
      </w:r>
    </w:p>
    <w:p w:rsidR="00AD0D0B" w:rsidRDefault="00AD0D0B"/>
    <w:sectPr w:rsidR="00AD0D0B" w:rsidSect="00347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655DE"/>
    <w:multiLevelType w:val="hybridMultilevel"/>
    <w:tmpl w:val="34700446"/>
    <w:lvl w:ilvl="0" w:tplc="C26EA136">
      <w:start w:val="1"/>
      <w:numFmt w:val="decimal"/>
      <w:lvlText w:val="%1."/>
      <w:lvlJc w:val="left"/>
      <w:pPr>
        <w:ind w:left="720" w:hanging="360"/>
      </w:pPr>
      <w:rPr>
        <w:rFonts w:ascii="Calibri" w:eastAsiaTheme="minorHAnsi" w:hAnsi="Calibri" w:cs="Arial" w:hint="default"/>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8E6"/>
    <w:rsid w:val="00033D06"/>
    <w:rsid w:val="000356E5"/>
    <w:rsid w:val="0005262B"/>
    <w:rsid w:val="000577B6"/>
    <w:rsid w:val="0006029A"/>
    <w:rsid w:val="00072607"/>
    <w:rsid w:val="00093921"/>
    <w:rsid w:val="00093A7E"/>
    <w:rsid w:val="000C0A46"/>
    <w:rsid w:val="000E1304"/>
    <w:rsid w:val="000E1A79"/>
    <w:rsid w:val="00101AB2"/>
    <w:rsid w:val="00132E99"/>
    <w:rsid w:val="001356F4"/>
    <w:rsid w:val="001738C7"/>
    <w:rsid w:val="00173FAB"/>
    <w:rsid w:val="001B7859"/>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2E12"/>
    <w:rsid w:val="003150AE"/>
    <w:rsid w:val="00350115"/>
    <w:rsid w:val="003A7B2F"/>
    <w:rsid w:val="003F5379"/>
    <w:rsid w:val="0041022F"/>
    <w:rsid w:val="00452C81"/>
    <w:rsid w:val="00464FBF"/>
    <w:rsid w:val="00485BB9"/>
    <w:rsid w:val="004A3A4E"/>
    <w:rsid w:val="004E3BFF"/>
    <w:rsid w:val="004F53F6"/>
    <w:rsid w:val="00535E1D"/>
    <w:rsid w:val="005759FA"/>
    <w:rsid w:val="005C2241"/>
    <w:rsid w:val="005C7E8A"/>
    <w:rsid w:val="005D7920"/>
    <w:rsid w:val="005E0CE8"/>
    <w:rsid w:val="006108B5"/>
    <w:rsid w:val="0063564A"/>
    <w:rsid w:val="00651353"/>
    <w:rsid w:val="00665BD1"/>
    <w:rsid w:val="00680A44"/>
    <w:rsid w:val="0068332D"/>
    <w:rsid w:val="0068673B"/>
    <w:rsid w:val="006A041A"/>
    <w:rsid w:val="006A4581"/>
    <w:rsid w:val="006B236E"/>
    <w:rsid w:val="006D6B03"/>
    <w:rsid w:val="007070D6"/>
    <w:rsid w:val="00727C19"/>
    <w:rsid w:val="00745133"/>
    <w:rsid w:val="00756AD4"/>
    <w:rsid w:val="007605FE"/>
    <w:rsid w:val="0079384D"/>
    <w:rsid w:val="00814BAF"/>
    <w:rsid w:val="0082691C"/>
    <w:rsid w:val="0083757A"/>
    <w:rsid w:val="008859BB"/>
    <w:rsid w:val="008D6A28"/>
    <w:rsid w:val="008D767E"/>
    <w:rsid w:val="00974145"/>
    <w:rsid w:val="00982C7F"/>
    <w:rsid w:val="00986F11"/>
    <w:rsid w:val="00991CEE"/>
    <w:rsid w:val="00995831"/>
    <w:rsid w:val="009F559A"/>
    <w:rsid w:val="00A054C1"/>
    <w:rsid w:val="00A070BB"/>
    <w:rsid w:val="00A20EF7"/>
    <w:rsid w:val="00A212D6"/>
    <w:rsid w:val="00A228E6"/>
    <w:rsid w:val="00A278F5"/>
    <w:rsid w:val="00A35D39"/>
    <w:rsid w:val="00A443BE"/>
    <w:rsid w:val="00A655AA"/>
    <w:rsid w:val="00A8547A"/>
    <w:rsid w:val="00A858E9"/>
    <w:rsid w:val="00A90E30"/>
    <w:rsid w:val="00A94FA0"/>
    <w:rsid w:val="00AB4417"/>
    <w:rsid w:val="00AD0D0B"/>
    <w:rsid w:val="00AD7370"/>
    <w:rsid w:val="00AE0C26"/>
    <w:rsid w:val="00AE5E5C"/>
    <w:rsid w:val="00B13BE1"/>
    <w:rsid w:val="00B7792A"/>
    <w:rsid w:val="00C03AA4"/>
    <w:rsid w:val="00C244CA"/>
    <w:rsid w:val="00C371B4"/>
    <w:rsid w:val="00C41E24"/>
    <w:rsid w:val="00C466EC"/>
    <w:rsid w:val="00C74E56"/>
    <w:rsid w:val="00C75436"/>
    <w:rsid w:val="00CA095C"/>
    <w:rsid w:val="00CB0700"/>
    <w:rsid w:val="00CC5EB1"/>
    <w:rsid w:val="00CC7653"/>
    <w:rsid w:val="00CD1395"/>
    <w:rsid w:val="00CE4834"/>
    <w:rsid w:val="00D164C2"/>
    <w:rsid w:val="00D339AE"/>
    <w:rsid w:val="00D4297B"/>
    <w:rsid w:val="00D52B59"/>
    <w:rsid w:val="00D53A8C"/>
    <w:rsid w:val="00D63581"/>
    <w:rsid w:val="00D9572C"/>
    <w:rsid w:val="00DC680F"/>
    <w:rsid w:val="00DE1DB6"/>
    <w:rsid w:val="00DE2B7C"/>
    <w:rsid w:val="00DF264D"/>
    <w:rsid w:val="00E1374A"/>
    <w:rsid w:val="00E137D6"/>
    <w:rsid w:val="00E25D82"/>
    <w:rsid w:val="00E47E0E"/>
    <w:rsid w:val="00E953F9"/>
    <w:rsid w:val="00EC488F"/>
    <w:rsid w:val="00EC749D"/>
    <w:rsid w:val="00F030E1"/>
    <w:rsid w:val="00F15CB8"/>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F625C"/>
  <w15:chartTrackingRefBased/>
  <w15:docId w15:val="{F42CC90C-0C39-498F-A92A-74E319F9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8E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8E6"/>
    <w:pPr>
      <w:ind w:left="720"/>
      <w:contextualSpacing/>
    </w:pPr>
  </w:style>
  <w:style w:type="character" w:styleId="Hyperlink">
    <w:name w:val="Hyperlink"/>
    <w:basedOn w:val="DefaultParagraphFont"/>
    <w:uiPriority w:val="99"/>
    <w:unhideWhenUsed/>
    <w:rsid w:val="006108B5"/>
    <w:rPr>
      <w:color w:val="0563C1"/>
      <w:u w:val="single"/>
    </w:rPr>
  </w:style>
  <w:style w:type="character" w:styleId="UnresolvedMention">
    <w:name w:val="Unresolved Mention"/>
    <w:basedOn w:val="DefaultParagraphFont"/>
    <w:uiPriority w:val="99"/>
    <w:semiHidden/>
    <w:unhideWhenUsed/>
    <w:rsid w:val="00072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07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Kathryn Wynne</cp:lastModifiedBy>
  <cp:revision>4</cp:revision>
  <dcterms:created xsi:type="dcterms:W3CDTF">2020-06-03T16:07:00Z</dcterms:created>
  <dcterms:modified xsi:type="dcterms:W3CDTF">2020-06-04T15:50:00Z</dcterms:modified>
</cp:coreProperties>
</file>