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29F" w:rsidRPr="0036129F" w:rsidRDefault="0036129F" w:rsidP="0036129F">
      <w:pPr>
        <w:rPr>
          <w:rFonts w:ascii="Calibri" w:hAnsi="Calibri"/>
          <w:b/>
          <w:sz w:val="22"/>
          <w:szCs w:val="22"/>
          <w:u w:val="single"/>
        </w:rPr>
      </w:pPr>
      <w:r w:rsidRPr="0036129F">
        <w:rPr>
          <w:rFonts w:ascii="Calibri" w:hAnsi="Calibri"/>
          <w:b/>
          <w:sz w:val="22"/>
          <w:szCs w:val="22"/>
          <w:u w:val="single"/>
        </w:rPr>
        <w:t xml:space="preserve">Failure to Thrive </w:t>
      </w:r>
      <w:r w:rsidRPr="0036129F">
        <w:rPr>
          <w:rFonts w:ascii="Calibri" w:hAnsi="Calibri"/>
          <w:b/>
          <w:sz w:val="22"/>
          <w:szCs w:val="22"/>
          <w:u w:val="single"/>
        </w:rPr>
        <w:t>Self</w:t>
      </w:r>
      <w:r w:rsidRPr="0036129F">
        <w:rPr>
          <w:rFonts w:ascii="Calibri" w:hAnsi="Calibri"/>
          <w:b/>
          <w:sz w:val="22"/>
          <w:szCs w:val="22"/>
          <w:u w:val="single"/>
        </w:rPr>
        <w:t>-</w:t>
      </w:r>
      <w:r w:rsidRPr="0036129F">
        <w:rPr>
          <w:rFonts w:ascii="Calibri" w:hAnsi="Calibri"/>
          <w:b/>
          <w:sz w:val="22"/>
          <w:szCs w:val="22"/>
          <w:u w:val="single"/>
        </w:rPr>
        <w:t>Assessment</w:t>
      </w:r>
    </w:p>
    <w:p w:rsidR="0036129F" w:rsidRPr="00001EEE" w:rsidRDefault="0036129F" w:rsidP="0036129F">
      <w:pPr>
        <w:rPr>
          <w:rFonts w:ascii="Calibri" w:hAnsi="Calibri"/>
          <w:sz w:val="22"/>
          <w:szCs w:val="22"/>
        </w:rPr>
      </w:pPr>
    </w:p>
    <w:p w:rsidR="0036129F" w:rsidRPr="00001EEE" w:rsidRDefault="0036129F" w:rsidP="0036129F">
      <w:pPr>
        <w:rPr>
          <w:rFonts w:ascii="Calibri" w:hAnsi="Calibri"/>
          <w:sz w:val="22"/>
          <w:szCs w:val="22"/>
        </w:rPr>
      </w:pPr>
      <w:r w:rsidRPr="00001EEE">
        <w:rPr>
          <w:rFonts w:ascii="Calibri" w:hAnsi="Calibri"/>
          <w:sz w:val="22"/>
          <w:szCs w:val="22"/>
        </w:rPr>
        <w:t xml:space="preserve">PREP question #197 </w:t>
      </w:r>
    </w:p>
    <w:p w:rsidR="0036129F" w:rsidRPr="00001EEE" w:rsidRDefault="0036129F" w:rsidP="0036129F">
      <w:pPr>
        <w:pStyle w:val="NormalWeb"/>
        <w:numPr>
          <w:ilvl w:val="0"/>
          <w:numId w:val="1"/>
        </w:numPr>
        <w:spacing w:before="0" w:beforeAutospacing="0" w:line="300" w:lineRule="atLeast"/>
        <w:jc w:val="both"/>
        <w:rPr>
          <w:rFonts w:ascii="Calibri" w:hAnsi="Calibri"/>
          <w:sz w:val="22"/>
          <w:szCs w:val="22"/>
        </w:rPr>
      </w:pPr>
      <w:r w:rsidRPr="00001EEE">
        <w:rPr>
          <w:rFonts w:ascii="Calibri" w:hAnsi="Calibri"/>
          <w:sz w:val="22"/>
          <w:szCs w:val="22"/>
        </w:rPr>
        <w:t xml:space="preserve">A 1-month-old boy is referred to the emergency department from his pediatrician’s office because of failure to thrive. He was born at 36 weeks of gestation to a 20-year-old gravida 1, para 0 woman. She had appropriate prenatal care, and no complications were reported during the pregnancy or delivery. Perinatal testing results were unremarkable. The neonate’s birthweight was 2.5 kg. He breastfed well in the nursery, passed meconium and urine within the first 24 hours, and was discharged from the hospital on day 2 after birth. His discharge weight was 2.32 kg. By his first health supervision visit, at age 10 days, he had regained his birthweight. Since then, the boy has had progressively increasing problems with feeding. He typically feeds for 10 minutes on each side, with a burping in between, and seems to adequately empty both breasts. For the last several days, he has had increasing vomiting with each burp, as well as after the feedings. The emesis is the color of milk, sometimes digested, and not projectile. It is more than would fill a teaspoon. The last 2 days before presentation, he has not been interested in feeding. </w:t>
      </w:r>
    </w:p>
    <w:p w:rsidR="0036129F" w:rsidRPr="00001EEE" w:rsidRDefault="0036129F" w:rsidP="0036129F">
      <w:pPr>
        <w:pStyle w:val="NormalWeb"/>
        <w:spacing w:before="0" w:beforeAutospacing="0" w:line="300" w:lineRule="atLeast"/>
        <w:ind w:left="360"/>
        <w:jc w:val="both"/>
        <w:rPr>
          <w:rFonts w:ascii="Calibri" w:hAnsi="Calibri"/>
          <w:sz w:val="22"/>
          <w:szCs w:val="22"/>
        </w:rPr>
      </w:pPr>
      <w:r w:rsidRPr="00001EEE">
        <w:rPr>
          <w:rFonts w:ascii="Calibri" w:hAnsi="Calibri"/>
          <w:sz w:val="22"/>
          <w:szCs w:val="22"/>
        </w:rPr>
        <w:t>His current weight is 2.41 kg. His temperature is 37°C, heart rate is 120 beats/min, respiratory rate is 24 breaths/min, and blood pressure is 70/40 mm Hg. Physical examination reveals a poorly nourished infant who is sleeping comfortably. He is easily aroused, remains calm, and quickly falls back to sleep. Mucous membranes are dry, and his sclera are slightly icteric. He has skin tenting and muscle wasting. The infant is breathing comfortably, lungs are clear, and his heart has a regular rate and rhythm, with a soft, grade II/VI systolic crescendo-decrescendo murmur heard best in the right upper sternal border. His abdomen is scaphoid, soft, nontender, and nondistended, with no palpable masses. He has normal male genitalia. Laboratory results are as follows</w:t>
      </w:r>
    </w:p>
    <w:tbl>
      <w:tblPr>
        <w:tblW w:w="0" w:type="auto"/>
        <w:tblBorders>
          <w:top w:val="outset" w:sz="6" w:space="0" w:color="auto"/>
          <w:left w:val="outset" w:sz="6" w:space="0" w:color="auto"/>
          <w:bottom w:val="outset" w:sz="6" w:space="0" w:color="auto"/>
          <w:right w:val="outset" w:sz="6" w:space="0" w:color="auto"/>
        </w:tblBorders>
        <w:tblCellMar>
          <w:top w:w="160" w:type="dxa"/>
          <w:left w:w="160" w:type="dxa"/>
          <w:bottom w:w="160" w:type="dxa"/>
          <w:right w:w="160" w:type="dxa"/>
        </w:tblCellMar>
        <w:tblLook w:val="04A0" w:firstRow="1" w:lastRow="0" w:firstColumn="1" w:lastColumn="0" w:noHBand="0" w:noVBand="1"/>
      </w:tblPr>
      <w:tblGrid>
        <w:gridCol w:w="1756"/>
        <w:gridCol w:w="2659"/>
      </w:tblGrid>
      <w:tr w:rsidR="0036129F" w:rsidRPr="00001EEE" w:rsidTr="00BC6133">
        <w:tc>
          <w:tcPr>
            <w:tcW w:w="0" w:type="auto"/>
            <w:tcBorders>
              <w:top w:val="outset" w:sz="6" w:space="0" w:color="auto"/>
              <w:left w:val="outset" w:sz="6" w:space="0" w:color="auto"/>
              <w:bottom w:val="outset" w:sz="6" w:space="0" w:color="auto"/>
              <w:right w:val="outset" w:sz="6" w:space="0" w:color="auto"/>
            </w:tcBorders>
            <w:vAlign w:val="center"/>
            <w:hideMark/>
          </w:tcPr>
          <w:p w:rsidR="0036129F" w:rsidRPr="00001EEE" w:rsidRDefault="0036129F" w:rsidP="00BC6133">
            <w:pPr>
              <w:spacing w:line="300" w:lineRule="atLeast"/>
              <w:rPr>
                <w:rFonts w:ascii="Calibri" w:hAnsi="Calibri"/>
                <w:sz w:val="22"/>
                <w:szCs w:val="22"/>
              </w:rPr>
            </w:pPr>
            <w:r w:rsidRPr="00001EEE">
              <w:rPr>
                <w:rFonts w:ascii="Calibri" w:hAnsi="Calibri"/>
                <w:b/>
                <w:bCs/>
                <w:sz w:val="22"/>
                <w:szCs w:val="22"/>
              </w:rPr>
              <w:t>Laboratory Test</w:t>
            </w:r>
          </w:p>
        </w:tc>
        <w:tc>
          <w:tcPr>
            <w:tcW w:w="0" w:type="auto"/>
            <w:tcBorders>
              <w:top w:val="outset" w:sz="6" w:space="0" w:color="auto"/>
              <w:left w:val="outset" w:sz="6" w:space="0" w:color="auto"/>
              <w:bottom w:val="outset" w:sz="6" w:space="0" w:color="auto"/>
              <w:right w:val="outset" w:sz="6" w:space="0" w:color="auto"/>
            </w:tcBorders>
            <w:vAlign w:val="center"/>
            <w:hideMark/>
          </w:tcPr>
          <w:p w:rsidR="0036129F" w:rsidRPr="00001EEE" w:rsidRDefault="0036129F" w:rsidP="00BC6133">
            <w:pPr>
              <w:spacing w:line="300" w:lineRule="atLeast"/>
              <w:rPr>
                <w:rFonts w:ascii="Calibri" w:hAnsi="Calibri"/>
                <w:sz w:val="22"/>
                <w:szCs w:val="22"/>
              </w:rPr>
            </w:pPr>
            <w:r w:rsidRPr="00001EEE">
              <w:rPr>
                <w:rFonts w:ascii="Calibri" w:hAnsi="Calibri"/>
                <w:b/>
                <w:bCs/>
                <w:sz w:val="22"/>
                <w:szCs w:val="22"/>
              </w:rPr>
              <w:t>Result</w:t>
            </w:r>
          </w:p>
        </w:tc>
      </w:tr>
      <w:tr w:rsidR="0036129F" w:rsidRPr="00001EEE" w:rsidTr="00BC6133">
        <w:tc>
          <w:tcPr>
            <w:tcW w:w="0" w:type="auto"/>
            <w:tcBorders>
              <w:top w:val="outset" w:sz="6" w:space="0" w:color="auto"/>
              <w:left w:val="outset" w:sz="6" w:space="0" w:color="auto"/>
              <w:bottom w:val="outset" w:sz="6" w:space="0" w:color="auto"/>
              <w:right w:val="outset" w:sz="6" w:space="0" w:color="auto"/>
            </w:tcBorders>
            <w:vAlign w:val="center"/>
            <w:hideMark/>
          </w:tcPr>
          <w:p w:rsidR="0036129F" w:rsidRPr="00001EEE" w:rsidRDefault="0036129F" w:rsidP="00BC6133">
            <w:pPr>
              <w:spacing w:line="300" w:lineRule="atLeast"/>
              <w:rPr>
                <w:rFonts w:ascii="Calibri" w:hAnsi="Calibri"/>
                <w:sz w:val="22"/>
                <w:szCs w:val="22"/>
              </w:rPr>
            </w:pPr>
            <w:r w:rsidRPr="00001EEE">
              <w:rPr>
                <w:rFonts w:ascii="Calibri" w:hAnsi="Calibri"/>
                <w:sz w:val="22"/>
                <w:szCs w:val="22"/>
              </w:rPr>
              <w:t>Sodium</w:t>
            </w:r>
          </w:p>
        </w:tc>
        <w:tc>
          <w:tcPr>
            <w:tcW w:w="0" w:type="auto"/>
            <w:tcBorders>
              <w:top w:val="outset" w:sz="6" w:space="0" w:color="auto"/>
              <w:left w:val="outset" w:sz="6" w:space="0" w:color="auto"/>
              <w:bottom w:val="outset" w:sz="6" w:space="0" w:color="auto"/>
              <w:right w:val="outset" w:sz="6" w:space="0" w:color="auto"/>
            </w:tcBorders>
            <w:vAlign w:val="center"/>
            <w:hideMark/>
          </w:tcPr>
          <w:p w:rsidR="0036129F" w:rsidRPr="00001EEE" w:rsidRDefault="0036129F" w:rsidP="00BC6133">
            <w:pPr>
              <w:spacing w:line="300" w:lineRule="atLeast"/>
              <w:rPr>
                <w:rFonts w:ascii="Calibri" w:hAnsi="Calibri"/>
                <w:sz w:val="22"/>
                <w:szCs w:val="22"/>
              </w:rPr>
            </w:pPr>
            <w:r w:rsidRPr="00001EEE">
              <w:rPr>
                <w:rFonts w:ascii="Calibri" w:hAnsi="Calibri"/>
                <w:sz w:val="22"/>
                <w:szCs w:val="22"/>
              </w:rPr>
              <w:t xml:space="preserve">116 </w:t>
            </w:r>
            <w:proofErr w:type="spellStart"/>
            <w:r w:rsidRPr="00001EEE">
              <w:rPr>
                <w:rFonts w:ascii="Calibri" w:hAnsi="Calibri"/>
                <w:sz w:val="22"/>
                <w:szCs w:val="22"/>
              </w:rPr>
              <w:t>mEq</w:t>
            </w:r>
            <w:proofErr w:type="spellEnd"/>
            <w:r w:rsidRPr="00001EEE">
              <w:rPr>
                <w:rFonts w:ascii="Calibri" w:hAnsi="Calibri"/>
                <w:sz w:val="22"/>
                <w:szCs w:val="22"/>
              </w:rPr>
              <w:t>/dL (116 mmol/L)</w:t>
            </w:r>
          </w:p>
        </w:tc>
      </w:tr>
      <w:tr w:rsidR="0036129F" w:rsidRPr="00001EEE" w:rsidTr="00BC6133">
        <w:tc>
          <w:tcPr>
            <w:tcW w:w="0" w:type="auto"/>
            <w:tcBorders>
              <w:top w:val="outset" w:sz="6" w:space="0" w:color="auto"/>
              <w:left w:val="outset" w:sz="6" w:space="0" w:color="auto"/>
              <w:bottom w:val="outset" w:sz="6" w:space="0" w:color="auto"/>
              <w:right w:val="outset" w:sz="6" w:space="0" w:color="auto"/>
            </w:tcBorders>
            <w:vAlign w:val="center"/>
            <w:hideMark/>
          </w:tcPr>
          <w:p w:rsidR="0036129F" w:rsidRPr="00001EEE" w:rsidRDefault="0036129F" w:rsidP="00BC6133">
            <w:pPr>
              <w:spacing w:line="300" w:lineRule="atLeast"/>
              <w:rPr>
                <w:rFonts w:ascii="Calibri" w:hAnsi="Calibri"/>
                <w:sz w:val="22"/>
                <w:szCs w:val="22"/>
              </w:rPr>
            </w:pPr>
            <w:r w:rsidRPr="00001EEE">
              <w:rPr>
                <w:rFonts w:ascii="Calibri" w:hAnsi="Calibri"/>
                <w:sz w:val="22"/>
                <w:szCs w:val="22"/>
              </w:rPr>
              <w:t>Potassium</w:t>
            </w:r>
          </w:p>
        </w:tc>
        <w:tc>
          <w:tcPr>
            <w:tcW w:w="0" w:type="auto"/>
            <w:tcBorders>
              <w:top w:val="outset" w:sz="6" w:space="0" w:color="auto"/>
              <w:left w:val="outset" w:sz="6" w:space="0" w:color="auto"/>
              <w:bottom w:val="outset" w:sz="6" w:space="0" w:color="auto"/>
              <w:right w:val="outset" w:sz="6" w:space="0" w:color="auto"/>
            </w:tcBorders>
            <w:vAlign w:val="center"/>
            <w:hideMark/>
          </w:tcPr>
          <w:p w:rsidR="0036129F" w:rsidRPr="00001EEE" w:rsidRDefault="0036129F" w:rsidP="00BC6133">
            <w:pPr>
              <w:spacing w:line="300" w:lineRule="atLeast"/>
              <w:rPr>
                <w:rFonts w:ascii="Calibri" w:hAnsi="Calibri"/>
                <w:sz w:val="22"/>
                <w:szCs w:val="22"/>
              </w:rPr>
            </w:pPr>
            <w:r w:rsidRPr="00001EEE">
              <w:rPr>
                <w:rFonts w:ascii="Calibri" w:hAnsi="Calibri"/>
                <w:sz w:val="22"/>
                <w:szCs w:val="22"/>
              </w:rPr>
              <w:t xml:space="preserve">3.0 </w:t>
            </w:r>
            <w:proofErr w:type="spellStart"/>
            <w:r w:rsidRPr="00001EEE">
              <w:rPr>
                <w:rFonts w:ascii="Calibri" w:hAnsi="Calibri"/>
                <w:sz w:val="22"/>
                <w:szCs w:val="22"/>
              </w:rPr>
              <w:t>mEq</w:t>
            </w:r>
            <w:proofErr w:type="spellEnd"/>
            <w:r w:rsidRPr="00001EEE">
              <w:rPr>
                <w:rFonts w:ascii="Calibri" w:hAnsi="Calibri"/>
                <w:sz w:val="22"/>
                <w:szCs w:val="22"/>
              </w:rPr>
              <w:t>/dL (3.0 mmol/L)</w:t>
            </w:r>
          </w:p>
        </w:tc>
      </w:tr>
      <w:tr w:rsidR="0036129F" w:rsidRPr="00001EEE" w:rsidTr="00BC6133">
        <w:tc>
          <w:tcPr>
            <w:tcW w:w="0" w:type="auto"/>
            <w:tcBorders>
              <w:top w:val="outset" w:sz="6" w:space="0" w:color="auto"/>
              <w:left w:val="outset" w:sz="6" w:space="0" w:color="auto"/>
              <w:bottom w:val="outset" w:sz="6" w:space="0" w:color="auto"/>
              <w:right w:val="outset" w:sz="6" w:space="0" w:color="auto"/>
            </w:tcBorders>
            <w:vAlign w:val="center"/>
            <w:hideMark/>
          </w:tcPr>
          <w:p w:rsidR="0036129F" w:rsidRPr="00001EEE" w:rsidRDefault="0036129F" w:rsidP="00BC6133">
            <w:pPr>
              <w:spacing w:line="300" w:lineRule="atLeast"/>
              <w:rPr>
                <w:rFonts w:ascii="Calibri" w:hAnsi="Calibri"/>
                <w:sz w:val="22"/>
                <w:szCs w:val="22"/>
              </w:rPr>
            </w:pPr>
            <w:r w:rsidRPr="00001EEE">
              <w:rPr>
                <w:rFonts w:ascii="Calibri" w:hAnsi="Calibri"/>
                <w:sz w:val="22"/>
                <w:szCs w:val="22"/>
              </w:rPr>
              <w:t>Chloride</w:t>
            </w:r>
          </w:p>
        </w:tc>
        <w:tc>
          <w:tcPr>
            <w:tcW w:w="0" w:type="auto"/>
            <w:tcBorders>
              <w:top w:val="outset" w:sz="6" w:space="0" w:color="auto"/>
              <w:left w:val="outset" w:sz="6" w:space="0" w:color="auto"/>
              <w:bottom w:val="outset" w:sz="6" w:space="0" w:color="auto"/>
              <w:right w:val="outset" w:sz="6" w:space="0" w:color="auto"/>
            </w:tcBorders>
            <w:vAlign w:val="center"/>
            <w:hideMark/>
          </w:tcPr>
          <w:p w:rsidR="0036129F" w:rsidRPr="00001EEE" w:rsidRDefault="0036129F" w:rsidP="00BC6133">
            <w:pPr>
              <w:spacing w:line="300" w:lineRule="atLeast"/>
              <w:rPr>
                <w:rFonts w:ascii="Calibri" w:hAnsi="Calibri"/>
                <w:sz w:val="22"/>
                <w:szCs w:val="22"/>
              </w:rPr>
            </w:pPr>
            <w:r w:rsidRPr="00001EEE">
              <w:rPr>
                <w:rFonts w:ascii="Calibri" w:hAnsi="Calibri"/>
                <w:sz w:val="22"/>
                <w:szCs w:val="22"/>
              </w:rPr>
              <w:t xml:space="preserve">68 </w:t>
            </w:r>
            <w:proofErr w:type="spellStart"/>
            <w:r w:rsidRPr="00001EEE">
              <w:rPr>
                <w:rFonts w:ascii="Calibri" w:hAnsi="Calibri"/>
                <w:sz w:val="22"/>
                <w:szCs w:val="22"/>
              </w:rPr>
              <w:t>mEq</w:t>
            </w:r>
            <w:proofErr w:type="spellEnd"/>
            <w:r w:rsidRPr="00001EEE">
              <w:rPr>
                <w:rFonts w:ascii="Calibri" w:hAnsi="Calibri"/>
                <w:sz w:val="22"/>
                <w:szCs w:val="22"/>
              </w:rPr>
              <w:t>/dL (68 mmol/L)</w:t>
            </w:r>
          </w:p>
        </w:tc>
      </w:tr>
      <w:tr w:rsidR="0036129F" w:rsidRPr="00001EEE" w:rsidTr="00BC6133">
        <w:tc>
          <w:tcPr>
            <w:tcW w:w="0" w:type="auto"/>
            <w:tcBorders>
              <w:top w:val="outset" w:sz="6" w:space="0" w:color="auto"/>
              <w:left w:val="outset" w:sz="6" w:space="0" w:color="auto"/>
              <w:bottom w:val="outset" w:sz="6" w:space="0" w:color="auto"/>
              <w:right w:val="outset" w:sz="6" w:space="0" w:color="auto"/>
            </w:tcBorders>
            <w:vAlign w:val="center"/>
            <w:hideMark/>
          </w:tcPr>
          <w:p w:rsidR="0036129F" w:rsidRPr="00001EEE" w:rsidRDefault="0036129F" w:rsidP="00BC6133">
            <w:pPr>
              <w:spacing w:line="300" w:lineRule="atLeast"/>
              <w:rPr>
                <w:rFonts w:ascii="Calibri" w:hAnsi="Calibri"/>
                <w:sz w:val="22"/>
                <w:szCs w:val="22"/>
              </w:rPr>
            </w:pPr>
            <w:r w:rsidRPr="00001EEE">
              <w:rPr>
                <w:rFonts w:ascii="Calibri" w:hAnsi="Calibri"/>
                <w:sz w:val="22"/>
                <w:szCs w:val="22"/>
              </w:rPr>
              <w:t>Bicarbonate</w:t>
            </w:r>
          </w:p>
        </w:tc>
        <w:tc>
          <w:tcPr>
            <w:tcW w:w="0" w:type="auto"/>
            <w:tcBorders>
              <w:top w:val="outset" w:sz="6" w:space="0" w:color="auto"/>
              <w:left w:val="outset" w:sz="6" w:space="0" w:color="auto"/>
              <w:bottom w:val="outset" w:sz="6" w:space="0" w:color="auto"/>
              <w:right w:val="outset" w:sz="6" w:space="0" w:color="auto"/>
            </w:tcBorders>
            <w:vAlign w:val="center"/>
            <w:hideMark/>
          </w:tcPr>
          <w:p w:rsidR="0036129F" w:rsidRPr="00001EEE" w:rsidRDefault="0036129F" w:rsidP="00BC6133">
            <w:pPr>
              <w:spacing w:line="300" w:lineRule="atLeast"/>
              <w:rPr>
                <w:rFonts w:ascii="Calibri" w:hAnsi="Calibri"/>
                <w:sz w:val="22"/>
                <w:szCs w:val="22"/>
              </w:rPr>
            </w:pPr>
            <w:r w:rsidRPr="00001EEE">
              <w:rPr>
                <w:rFonts w:ascii="Calibri" w:hAnsi="Calibri"/>
                <w:sz w:val="22"/>
                <w:szCs w:val="22"/>
              </w:rPr>
              <w:t xml:space="preserve">40 </w:t>
            </w:r>
            <w:proofErr w:type="spellStart"/>
            <w:r w:rsidRPr="00001EEE">
              <w:rPr>
                <w:rFonts w:ascii="Calibri" w:hAnsi="Calibri"/>
                <w:sz w:val="22"/>
                <w:szCs w:val="22"/>
              </w:rPr>
              <w:t>mEq</w:t>
            </w:r>
            <w:proofErr w:type="spellEnd"/>
            <w:r w:rsidRPr="00001EEE">
              <w:rPr>
                <w:rFonts w:ascii="Calibri" w:hAnsi="Calibri"/>
                <w:sz w:val="22"/>
                <w:szCs w:val="22"/>
              </w:rPr>
              <w:t>/dL (40 mmol/L)</w:t>
            </w:r>
          </w:p>
        </w:tc>
      </w:tr>
      <w:tr w:rsidR="0036129F" w:rsidRPr="00001EEE" w:rsidTr="00BC6133">
        <w:tc>
          <w:tcPr>
            <w:tcW w:w="0" w:type="auto"/>
            <w:tcBorders>
              <w:top w:val="outset" w:sz="6" w:space="0" w:color="auto"/>
              <w:left w:val="outset" w:sz="6" w:space="0" w:color="auto"/>
              <w:bottom w:val="outset" w:sz="6" w:space="0" w:color="auto"/>
              <w:right w:val="outset" w:sz="6" w:space="0" w:color="auto"/>
            </w:tcBorders>
            <w:vAlign w:val="center"/>
            <w:hideMark/>
          </w:tcPr>
          <w:p w:rsidR="0036129F" w:rsidRPr="00001EEE" w:rsidRDefault="0036129F" w:rsidP="00BC6133">
            <w:pPr>
              <w:spacing w:line="300" w:lineRule="atLeast"/>
              <w:rPr>
                <w:rFonts w:ascii="Calibri" w:hAnsi="Calibri"/>
                <w:sz w:val="22"/>
                <w:szCs w:val="22"/>
              </w:rPr>
            </w:pPr>
            <w:r w:rsidRPr="00001EEE">
              <w:rPr>
                <w:rFonts w:ascii="Calibri" w:hAnsi="Calibri"/>
                <w:sz w:val="22"/>
                <w:szCs w:val="22"/>
              </w:rPr>
              <w:t>Glucose</w:t>
            </w:r>
          </w:p>
        </w:tc>
        <w:tc>
          <w:tcPr>
            <w:tcW w:w="0" w:type="auto"/>
            <w:tcBorders>
              <w:top w:val="outset" w:sz="6" w:space="0" w:color="auto"/>
              <w:left w:val="outset" w:sz="6" w:space="0" w:color="auto"/>
              <w:bottom w:val="outset" w:sz="6" w:space="0" w:color="auto"/>
              <w:right w:val="outset" w:sz="6" w:space="0" w:color="auto"/>
            </w:tcBorders>
            <w:vAlign w:val="center"/>
            <w:hideMark/>
          </w:tcPr>
          <w:p w:rsidR="0036129F" w:rsidRPr="00001EEE" w:rsidRDefault="0036129F" w:rsidP="00BC6133">
            <w:pPr>
              <w:spacing w:line="300" w:lineRule="atLeast"/>
              <w:rPr>
                <w:rFonts w:ascii="Calibri" w:hAnsi="Calibri"/>
                <w:sz w:val="22"/>
                <w:szCs w:val="22"/>
              </w:rPr>
            </w:pPr>
            <w:r w:rsidRPr="00001EEE">
              <w:rPr>
                <w:rFonts w:ascii="Calibri" w:hAnsi="Calibri"/>
                <w:sz w:val="22"/>
                <w:szCs w:val="22"/>
              </w:rPr>
              <w:t>62 mg/dL (3.4 mmol/L)</w:t>
            </w:r>
          </w:p>
        </w:tc>
      </w:tr>
    </w:tbl>
    <w:p w:rsidR="0036129F" w:rsidRPr="00001EEE" w:rsidRDefault="0036129F" w:rsidP="0036129F">
      <w:pPr>
        <w:pStyle w:val="NormalWeb"/>
        <w:spacing w:before="0" w:beforeAutospacing="0" w:line="300" w:lineRule="atLeast"/>
        <w:jc w:val="both"/>
        <w:rPr>
          <w:rFonts w:ascii="Calibri" w:hAnsi="Calibri"/>
          <w:sz w:val="22"/>
          <w:szCs w:val="22"/>
        </w:rPr>
      </w:pPr>
      <w:r w:rsidRPr="00001EEE">
        <w:rPr>
          <w:rFonts w:ascii="Calibri" w:hAnsi="Calibri"/>
          <w:sz w:val="22"/>
          <w:szCs w:val="22"/>
        </w:rPr>
        <w:t>Of the following, the diagnostic test MOST likely to reveal the underlying cause of the infant’s electrolyte disturbance is</w:t>
      </w:r>
    </w:p>
    <w:p w:rsidR="0036129F" w:rsidRPr="00001EEE" w:rsidRDefault="0036129F" w:rsidP="0036129F">
      <w:pPr>
        <w:pStyle w:val="ListParagraph"/>
        <w:numPr>
          <w:ilvl w:val="0"/>
          <w:numId w:val="2"/>
        </w:numPr>
        <w:rPr>
          <w:rFonts w:ascii="Calibri" w:hAnsi="Calibri"/>
          <w:sz w:val="22"/>
          <w:szCs w:val="22"/>
        </w:rPr>
      </w:pPr>
      <w:r w:rsidRPr="00001EEE">
        <w:rPr>
          <w:rFonts w:ascii="Calibri" w:hAnsi="Calibri"/>
          <w:sz w:val="22"/>
          <w:szCs w:val="22"/>
        </w:rPr>
        <w:t>Abdominal ultrasonography</w:t>
      </w:r>
    </w:p>
    <w:p w:rsidR="0036129F" w:rsidRPr="00001EEE" w:rsidRDefault="0036129F" w:rsidP="0036129F">
      <w:pPr>
        <w:pStyle w:val="ListParagraph"/>
        <w:numPr>
          <w:ilvl w:val="0"/>
          <w:numId w:val="2"/>
        </w:numPr>
        <w:rPr>
          <w:rFonts w:ascii="Calibri" w:hAnsi="Calibri"/>
          <w:sz w:val="22"/>
          <w:szCs w:val="22"/>
        </w:rPr>
      </w:pPr>
      <w:r w:rsidRPr="00001EEE">
        <w:rPr>
          <w:rFonts w:ascii="Calibri" w:hAnsi="Calibri"/>
          <w:sz w:val="22"/>
          <w:szCs w:val="22"/>
        </w:rPr>
        <w:t>Urine pH measurement</w:t>
      </w:r>
    </w:p>
    <w:p w:rsidR="0036129F" w:rsidRPr="00001EEE" w:rsidRDefault="0036129F" w:rsidP="0036129F">
      <w:pPr>
        <w:pStyle w:val="ListParagraph"/>
        <w:numPr>
          <w:ilvl w:val="0"/>
          <w:numId w:val="2"/>
        </w:numPr>
        <w:rPr>
          <w:rFonts w:ascii="Calibri" w:hAnsi="Calibri"/>
          <w:sz w:val="22"/>
          <w:szCs w:val="22"/>
        </w:rPr>
      </w:pPr>
      <w:r w:rsidRPr="00001EEE">
        <w:rPr>
          <w:rFonts w:ascii="Calibri" w:hAnsi="Calibri"/>
          <w:sz w:val="22"/>
          <w:szCs w:val="22"/>
        </w:rPr>
        <w:t xml:space="preserve">Upper gastrointestinal radiography </w:t>
      </w:r>
    </w:p>
    <w:p w:rsidR="0036129F" w:rsidRPr="00001EEE" w:rsidRDefault="0036129F" w:rsidP="0036129F">
      <w:pPr>
        <w:pStyle w:val="ListParagraph"/>
        <w:numPr>
          <w:ilvl w:val="0"/>
          <w:numId w:val="2"/>
        </w:numPr>
        <w:rPr>
          <w:rFonts w:ascii="Calibri" w:hAnsi="Calibri"/>
          <w:sz w:val="22"/>
          <w:szCs w:val="22"/>
        </w:rPr>
      </w:pPr>
      <w:r w:rsidRPr="00001EEE">
        <w:rPr>
          <w:rFonts w:ascii="Calibri" w:hAnsi="Calibri"/>
          <w:sz w:val="22"/>
          <w:szCs w:val="22"/>
        </w:rPr>
        <w:lastRenderedPageBreak/>
        <w:t xml:space="preserve">Plasma aldosterone/renin activity </w:t>
      </w:r>
    </w:p>
    <w:p w:rsidR="0036129F" w:rsidRDefault="0036129F" w:rsidP="0036129F">
      <w:pPr>
        <w:rPr>
          <w:rFonts w:ascii="Calibri" w:hAnsi="Calibri"/>
          <w:sz w:val="22"/>
          <w:szCs w:val="22"/>
        </w:rPr>
      </w:pPr>
    </w:p>
    <w:p w:rsidR="0036129F" w:rsidRPr="0036129F" w:rsidRDefault="0036129F" w:rsidP="0036129F">
      <w:pPr>
        <w:rPr>
          <w:rFonts w:ascii="Calibri" w:hAnsi="Calibri"/>
          <w:sz w:val="22"/>
          <w:szCs w:val="22"/>
        </w:rPr>
      </w:pPr>
      <w:r w:rsidRPr="00001EEE">
        <w:rPr>
          <w:rFonts w:ascii="Calibri" w:hAnsi="Calibri"/>
          <w:sz w:val="22"/>
          <w:szCs w:val="22"/>
        </w:rPr>
        <w:t xml:space="preserve">Answer: </w:t>
      </w:r>
      <w:r>
        <w:rPr>
          <w:rFonts w:ascii="Calibri" w:hAnsi="Calibri"/>
          <w:sz w:val="22"/>
          <w:szCs w:val="22"/>
        </w:rPr>
        <w:t xml:space="preserve"> A. </w:t>
      </w:r>
      <w:r w:rsidRPr="0036129F">
        <w:rPr>
          <w:rFonts w:ascii="Calibri" w:hAnsi="Calibri"/>
          <w:sz w:val="22"/>
          <w:szCs w:val="22"/>
        </w:rPr>
        <w:t xml:space="preserve">Abdominal U/S </w:t>
      </w:r>
    </w:p>
    <w:p w:rsidR="0036129F" w:rsidRPr="00001EEE" w:rsidRDefault="0036129F" w:rsidP="0036129F">
      <w:pPr>
        <w:rPr>
          <w:rFonts w:ascii="Calibri" w:hAnsi="Calibri"/>
          <w:sz w:val="22"/>
          <w:szCs w:val="22"/>
        </w:rPr>
      </w:pPr>
      <w:r w:rsidRPr="00001EEE">
        <w:rPr>
          <w:rFonts w:ascii="Calibri" w:hAnsi="Calibri"/>
          <w:sz w:val="22"/>
          <w:szCs w:val="22"/>
        </w:rPr>
        <w:t xml:space="preserve">The boy in the vignette has failure to thrive, vomiting, dehydration, and hyponatremia with </w:t>
      </w:r>
      <w:proofErr w:type="spellStart"/>
      <w:r w:rsidRPr="00001EEE">
        <w:rPr>
          <w:rFonts w:ascii="Calibri" w:hAnsi="Calibri"/>
          <w:sz w:val="22"/>
          <w:szCs w:val="22"/>
        </w:rPr>
        <w:t>hypochloremic</w:t>
      </w:r>
      <w:proofErr w:type="spellEnd"/>
      <w:r w:rsidRPr="00001EEE">
        <w:rPr>
          <w:rFonts w:ascii="Calibri" w:hAnsi="Calibri"/>
          <w:sz w:val="22"/>
          <w:szCs w:val="22"/>
        </w:rPr>
        <w:t xml:space="preserve"> metabolic alkalosis. The most likely diagnosis is hypertrophic pyloric stenosis, and the best diagnostic test is abdominal ultrasonography.</w:t>
      </w:r>
    </w:p>
    <w:p w:rsidR="0036129F" w:rsidRPr="00001EEE" w:rsidRDefault="0036129F" w:rsidP="0036129F">
      <w:pPr>
        <w:rPr>
          <w:rFonts w:ascii="Calibri" w:hAnsi="Calibri"/>
          <w:sz w:val="22"/>
          <w:szCs w:val="22"/>
        </w:rPr>
      </w:pPr>
      <w:r w:rsidRPr="00001EEE">
        <w:rPr>
          <w:rFonts w:ascii="Calibri" w:hAnsi="Calibri"/>
          <w:sz w:val="22"/>
          <w:szCs w:val="22"/>
        </w:rPr>
        <w:t>In large part, the equilibrium among carbon dioxide (CO2), carbonic acid (H2CO3), and bicarbonate (HCO3-) anion determine the acid-base balance of the body.</w:t>
      </w:r>
    </w:p>
    <w:p w:rsidR="0036129F" w:rsidRPr="00001EEE" w:rsidRDefault="0036129F" w:rsidP="0036129F">
      <w:pPr>
        <w:ind w:left="1440" w:firstLine="720"/>
        <w:rPr>
          <w:rFonts w:ascii="Calibri" w:hAnsi="Calibri"/>
          <w:sz w:val="22"/>
          <w:szCs w:val="22"/>
        </w:rPr>
      </w:pPr>
      <w:r w:rsidRPr="00001EEE">
        <w:rPr>
          <w:rFonts w:ascii="Calibri" w:hAnsi="Calibri"/>
          <w:sz w:val="22"/>
          <w:szCs w:val="22"/>
        </w:rPr>
        <w:t>CO2 + H2O &lt;-&gt; H2CO3 &lt;-&gt; H+ + HCO3-</w:t>
      </w:r>
    </w:p>
    <w:p w:rsidR="0036129F" w:rsidRPr="00001EEE" w:rsidRDefault="0036129F" w:rsidP="0036129F">
      <w:pPr>
        <w:rPr>
          <w:rFonts w:ascii="Calibri" w:hAnsi="Calibri"/>
          <w:sz w:val="22"/>
          <w:szCs w:val="22"/>
        </w:rPr>
      </w:pPr>
    </w:p>
    <w:p w:rsidR="0036129F" w:rsidRPr="00001EEE" w:rsidRDefault="0036129F" w:rsidP="0036129F">
      <w:pPr>
        <w:rPr>
          <w:rFonts w:ascii="Calibri" w:hAnsi="Calibri"/>
          <w:sz w:val="22"/>
          <w:szCs w:val="22"/>
        </w:rPr>
      </w:pPr>
      <w:r w:rsidRPr="00001EEE">
        <w:rPr>
          <w:rFonts w:ascii="Calibri" w:hAnsi="Calibri"/>
          <w:sz w:val="22"/>
          <w:szCs w:val="22"/>
        </w:rPr>
        <w:t xml:space="preserve">Thus, the respiratory system’s modulation of the amount of dissolved CO2 in the blood, and the metabolic system’s regulation of HCO3 levels, are the main determinants of acid-base balance. A blood gas specimen and an electrolyte panel are important in determining acid-base status. pH values above and below the reference range represent alkalosis and acidosis, respectively (Item C197). It is important to determine the degree to which the respiratory and metabolic systems are contributing to acid-base disturbances. Metabolic acidosis is present if the pH and the serum bicarbonate levels are both low. Two broad categories of metabolic acidosis include elevated anion gap metabolic acidosis and normal anion gap acidosis; the formula for anion gap calculation is (Na+ - HCO3- - Cl-). Normal anion gap (≤12) metabolic acidosis is caused by loss of bicarbonate from the urine, for example, in renal tubular acidosis, or from the stool, as in severe diarrhea. </w:t>
      </w:r>
    </w:p>
    <w:p w:rsidR="0036129F" w:rsidRPr="00001EEE" w:rsidRDefault="0036129F" w:rsidP="0036129F">
      <w:pPr>
        <w:rPr>
          <w:rFonts w:ascii="Calibri" w:hAnsi="Calibri"/>
          <w:sz w:val="22"/>
          <w:szCs w:val="22"/>
        </w:rPr>
      </w:pPr>
    </w:p>
    <w:p w:rsidR="0036129F" w:rsidRPr="00001EEE" w:rsidRDefault="0036129F" w:rsidP="0036129F">
      <w:pPr>
        <w:rPr>
          <w:rFonts w:ascii="Calibri" w:hAnsi="Calibri"/>
          <w:sz w:val="22"/>
          <w:szCs w:val="22"/>
        </w:rPr>
      </w:pPr>
      <w:r w:rsidRPr="00001EEE">
        <w:rPr>
          <w:rFonts w:ascii="Calibri" w:hAnsi="Calibri"/>
          <w:sz w:val="22"/>
          <w:szCs w:val="22"/>
        </w:rPr>
        <w:t>The causes of elevated anion gap metabolic acidosis (&gt;12) can be remembered by the mnemonic MUDPILES (methanol, uremia, diabetic ketoacidosis, paraldehyde, isoniazid, lactic acidosis, ethylene glycol, salicylates). The presence of these unmeasured anions contributes to the elevated anion gap.</w:t>
      </w:r>
    </w:p>
    <w:p w:rsidR="0036129F" w:rsidRPr="00001EEE" w:rsidRDefault="0036129F" w:rsidP="0036129F">
      <w:pPr>
        <w:rPr>
          <w:rFonts w:ascii="Calibri" w:hAnsi="Calibri"/>
          <w:sz w:val="22"/>
          <w:szCs w:val="22"/>
        </w:rPr>
      </w:pPr>
    </w:p>
    <w:p w:rsidR="0036129F" w:rsidRPr="00001EEE" w:rsidRDefault="0036129F" w:rsidP="0036129F">
      <w:pPr>
        <w:rPr>
          <w:rFonts w:ascii="Calibri" w:hAnsi="Calibri"/>
          <w:sz w:val="22"/>
          <w:szCs w:val="22"/>
        </w:rPr>
      </w:pPr>
      <w:r w:rsidRPr="00001EEE">
        <w:rPr>
          <w:rFonts w:ascii="Calibri" w:hAnsi="Calibri"/>
          <w:sz w:val="22"/>
          <w:szCs w:val="22"/>
        </w:rPr>
        <w:t>Metabolic alkalosis is marked by an increase in serum HCO3. This is often caused by either gastrointestinal or renal losses of chloride. In normal situations, to maintain serum electroneutrality, bicarbonate is reabsorbed in the kidney and the buffering equilibrium in the body shifts toward increasing bicarbonate concentration. Common causes of chloride losses include diuretic use, vomiting, or diarrhea. Hypertrophic pyloric stenosis is a common cause of "contraction alkalosis," in which the hydrochloric acid secreted from the stomach is lost due to profuse vomiting caused by the gastric obstruction. The physiologic bicarbonate secretion from the pancreas is also decreased, because acidic stomach contents are not presented to the duodenum, further increasing serum HCO3 concentration. The central nervous system respiratory center relies on slight decreases in cerebrospinal fluid pH as a stimulus to breathe; therefore, hypoventilation occurs as a compensatory mechanism for metabolic alkalosis. Thus, preoperative management to correct electrolytes and restore intravascular volume is important to prevent postoperative apnea. Severe hyponatremia can be present in this condition, as seen in the child in this vignette. However, unless encephalopathy or hyponatremic seizures are present, sodium should be slowly corrected to prevent myelinolysis.</w:t>
      </w:r>
    </w:p>
    <w:p w:rsidR="0036129F" w:rsidRPr="00001EEE" w:rsidRDefault="0036129F" w:rsidP="0036129F">
      <w:pPr>
        <w:rPr>
          <w:rFonts w:ascii="Calibri" w:hAnsi="Calibri"/>
          <w:sz w:val="22"/>
          <w:szCs w:val="22"/>
        </w:rPr>
      </w:pPr>
    </w:p>
    <w:p w:rsidR="0036129F" w:rsidRPr="00001EEE" w:rsidRDefault="0036129F" w:rsidP="0036129F">
      <w:pPr>
        <w:rPr>
          <w:rFonts w:ascii="Calibri" w:hAnsi="Calibri"/>
          <w:sz w:val="22"/>
          <w:szCs w:val="22"/>
        </w:rPr>
      </w:pPr>
      <w:r w:rsidRPr="00001EEE">
        <w:rPr>
          <w:rFonts w:ascii="Calibri" w:hAnsi="Calibri"/>
          <w:sz w:val="22"/>
          <w:szCs w:val="22"/>
        </w:rPr>
        <w:t xml:space="preserve">Although urine pH measurement can be helpful in the diagnosis of acid-base disturbances, it is usually not specific enough to diagnose the cause. An upper gastrointestinal radiography series can be helpful in identifying obstruction, but it is not sensitive enough to detect hypertrophic pyloric stenosis. A plasma aldosterone/renin activity ratio is helpful in differentiating the causes of </w:t>
      </w:r>
      <w:proofErr w:type="gramStart"/>
      <w:r w:rsidRPr="00001EEE">
        <w:rPr>
          <w:rFonts w:ascii="Calibri" w:hAnsi="Calibri"/>
          <w:sz w:val="22"/>
          <w:szCs w:val="22"/>
        </w:rPr>
        <w:t>hyperaldosteronism, but</w:t>
      </w:r>
      <w:proofErr w:type="gramEnd"/>
      <w:r w:rsidRPr="00001EEE">
        <w:rPr>
          <w:rFonts w:ascii="Calibri" w:hAnsi="Calibri"/>
          <w:sz w:val="22"/>
          <w:szCs w:val="22"/>
        </w:rPr>
        <w:t xml:space="preserve"> is not helpful in acid-base disturbances.</w:t>
      </w:r>
    </w:p>
    <w:p w:rsidR="0036129F" w:rsidRPr="00001EEE" w:rsidRDefault="0036129F" w:rsidP="0036129F">
      <w:pPr>
        <w:rPr>
          <w:rFonts w:ascii="Calibri" w:hAnsi="Calibri"/>
          <w:sz w:val="22"/>
          <w:szCs w:val="22"/>
        </w:rPr>
      </w:pPr>
    </w:p>
    <w:p w:rsidR="0036129F" w:rsidRPr="00001EEE" w:rsidRDefault="0036129F" w:rsidP="0036129F">
      <w:pPr>
        <w:rPr>
          <w:rFonts w:ascii="Calibri" w:hAnsi="Calibri"/>
          <w:sz w:val="22"/>
          <w:szCs w:val="22"/>
        </w:rPr>
      </w:pPr>
      <w:r w:rsidRPr="00001EEE">
        <w:rPr>
          <w:rFonts w:ascii="Calibri" w:hAnsi="Calibri"/>
          <w:sz w:val="22"/>
          <w:szCs w:val="22"/>
        </w:rPr>
        <w:t>PREP Pearls</w:t>
      </w:r>
    </w:p>
    <w:p w:rsidR="0036129F" w:rsidRPr="00001EEE" w:rsidRDefault="0036129F" w:rsidP="0036129F">
      <w:pPr>
        <w:rPr>
          <w:rFonts w:ascii="Calibri" w:hAnsi="Calibri"/>
          <w:sz w:val="22"/>
          <w:szCs w:val="22"/>
        </w:rPr>
      </w:pPr>
      <w:r w:rsidRPr="00001EEE">
        <w:rPr>
          <w:rFonts w:ascii="Calibri" w:hAnsi="Calibri"/>
          <w:sz w:val="22"/>
          <w:szCs w:val="22"/>
        </w:rPr>
        <w:t>•</w:t>
      </w:r>
      <w:r w:rsidRPr="00001EEE">
        <w:rPr>
          <w:rFonts w:ascii="Calibri" w:hAnsi="Calibri"/>
          <w:sz w:val="22"/>
          <w:szCs w:val="22"/>
        </w:rPr>
        <w:tab/>
        <w:t>A blood gas specimen and an electrolyte panel are important in determining acid-base status.</w:t>
      </w:r>
    </w:p>
    <w:p w:rsidR="0036129F" w:rsidRPr="00001EEE" w:rsidRDefault="0036129F" w:rsidP="0036129F">
      <w:pPr>
        <w:rPr>
          <w:rFonts w:ascii="Calibri" w:hAnsi="Calibri"/>
          <w:sz w:val="22"/>
          <w:szCs w:val="22"/>
        </w:rPr>
      </w:pPr>
      <w:r w:rsidRPr="00001EEE">
        <w:rPr>
          <w:rFonts w:ascii="Calibri" w:hAnsi="Calibri"/>
          <w:sz w:val="22"/>
          <w:szCs w:val="22"/>
        </w:rPr>
        <w:lastRenderedPageBreak/>
        <w:t>•</w:t>
      </w:r>
      <w:r w:rsidRPr="00001EEE">
        <w:rPr>
          <w:rFonts w:ascii="Calibri" w:hAnsi="Calibri"/>
          <w:sz w:val="22"/>
          <w:szCs w:val="22"/>
        </w:rPr>
        <w:tab/>
        <w:t>Normal anion gap metabolic acidosis is caused by the loss of bicarbonate from the urine (</w:t>
      </w:r>
      <w:proofErr w:type="spellStart"/>
      <w:r w:rsidRPr="00001EEE">
        <w:rPr>
          <w:rFonts w:ascii="Calibri" w:hAnsi="Calibri"/>
          <w:sz w:val="22"/>
          <w:szCs w:val="22"/>
        </w:rPr>
        <w:t>eg</w:t>
      </w:r>
      <w:proofErr w:type="spellEnd"/>
      <w:r w:rsidRPr="00001EEE">
        <w:rPr>
          <w:rFonts w:ascii="Calibri" w:hAnsi="Calibri"/>
          <w:sz w:val="22"/>
          <w:szCs w:val="22"/>
        </w:rPr>
        <w:t>, renal tubular acidosis), or from the stool, as in severe diarrhea.</w:t>
      </w:r>
    </w:p>
    <w:p w:rsidR="0036129F" w:rsidRPr="00001EEE" w:rsidRDefault="0036129F" w:rsidP="0036129F">
      <w:pPr>
        <w:rPr>
          <w:rFonts w:ascii="Calibri" w:hAnsi="Calibri"/>
          <w:sz w:val="22"/>
          <w:szCs w:val="22"/>
        </w:rPr>
      </w:pPr>
      <w:r w:rsidRPr="00001EEE">
        <w:rPr>
          <w:rFonts w:ascii="Calibri" w:hAnsi="Calibri"/>
          <w:sz w:val="22"/>
          <w:szCs w:val="22"/>
        </w:rPr>
        <w:t>•</w:t>
      </w:r>
      <w:r w:rsidRPr="00001EEE">
        <w:rPr>
          <w:rFonts w:ascii="Calibri" w:hAnsi="Calibri"/>
          <w:sz w:val="22"/>
          <w:szCs w:val="22"/>
        </w:rPr>
        <w:tab/>
        <w:t xml:space="preserve">Preoperative management to correct electrolytes and </w:t>
      </w:r>
      <w:proofErr w:type="gramStart"/>
      <w:r w:rsidRPr="00001EEE">
        <w:rPr>
          <w:rFonts w:ascii="Calibri" w:hAnsi="Calibri"/>
          <w:sz w:val="22"/>
          <w:szCs w:val="22"/>
        </w:rPr>
        <w:t>restore</w:t>
      </w:r>
      <w:proofErr w:type="gramEnd"/>
      <w:r w:rsidRPr="00001EEE">
        <w:rPr>
          <w:rFonts w:ascii="Calibri" w:hAnsi="Calibri"/>
          <w:sz w:val="22"/>
          <w:szCs w:val="22"/>
        </w:rPr>
        <w:t xml:space="preserve"> intravascular volume in hypertrophic pyloric stenosis is important to prevent postoperative apnea.</w:t>
      </w:r>
    </w:p>
    <w:p w:rsidR="0036129F" w:rsidRPr="00001EEE" w:rsidRDefault="0036129F" w:rsidP="0036129F">
      <w:pPr>
        <w:pBdr>
          <w:bottom w:val="single" w:sz="12" w:space="1" w:color="auto"/>
        </w:pBdr>
        <w:rPr>
          <w:rFonts w:ascii="Calibri" w:hAnsi="Calibri"/>
          <w:sz w:val="22"/>
          <w:szCs w:val="22"/>
        </w:rPr>
      </w:pPr>
    </w:p>
    <w:p w:rsidR="0036129F" w:rsidRPr="00001EEE" w:rsidRDefault="0036129F" w:rsidP="0036129F">
      <w:pPr>
        <w:rPr>
          <w:rFonts w:ascii="Calibri" w:hAnsi="Calibri"/>
          <w:sz w:val="22"/>
          <w:szCs w:val="22"/>
        </w:rPr>
      </w:pPr>
    </w:p>
    <w:p w:rsidR="0036129F" w:rsidRPr="00001EEE" w:rsidRDefault="0036129F" w:rsidP="0036129F">
      <w:pPr>
        <w:pStyle w:val="ListParagraph"/>
        <w:numPr>
          <w:ilvl w:val="0"/>
          <w:numId w:val="1"/>
        </w:numPr>
        <w:rPr>
          <w:rFonts w:ascii="Calibri" w:hAnsi="Calibri"/>
          <w:sz w:val="22"/>
          <w:szCs w:val="22"/>
        </w:rPr>
      </w:pPr>
      <w:r w:rsidRPr="00001EEE">
        <w:rPr>
          <w:rFonts w:ascii="Calibri" w:hAnsi="Calibri"/>
          <w:sz w:val="22"/>
          <w:szCs w:val="22"/>
        </w:rPr>
        <w:t xml:space="preserve">3-month-old female infant is brought to the clinic for difficulty with feeding and poor weight gain. She was born at 39 weeks’ gestation with weight at the 50th percentile and had no complications. The mother states that the infant has been waking to feed about 2 oz every 3 hours. She often takes up to 40 minutes to feed, gets sweaty during her feeds, and seems tired afterwards. Her weight is 4.6 kg (second percentile), and she is thin. She has crackles in the lower lung fields and a grade 3/6 systolic murmur heard best at the left lower sternal border. The liver is palpable 2 cm below the right costal margin. Echocardiography findings are significant for a ventricular septal defect. A nasogastric tube is </w:t>
      </w:r>
      <w:proofErr w:type="gramStart"/>
      <w:r w:rsidRPr="00001EEE">
        <w:rPr>
          <w:rFonts w:ascii="Calibri" w:hAnsi="Calibri"/>
          <w:sz w:val="22"/>
          <w:szCs w:val="22"/>
        </w:rPr>
        <w:t>placed</w:t>
      </w:r>
      <w:proofErr w:type="gramEnd"/>
      <w:r w:rsidRPr="00001EEE">
        <w:rPr>
          <w:rFonts w:ascii="Calibri" w:hAnsi="Calibri"/>
          <w:sz w:val="22"/>
          <w:szCs w:val="22"/>
        </w:rPr>
        <w:t xml:space="preserve"> and bottle/gavage feeds are initiated with standard formula while awaiting a return call from the cardiologist.</w:t>
      </w:r>
    </w:p>
    <w:p w:rsidR="0036129F" w:rsidRPr="00001EEE" w:rsidRDefault="0036129F" w:rsidP="0036129F">
      <w:pPr>
        <w:rPr>
          <w:rFonts w:ascii="Calibri" w:hAnsi="Calibri"/>
          <w:sz w:val="22"/>
          <w:szCs w:val="22"/>
        </w:rPr>
      </w:pPr>
    </w:p>
    <w:p w:rsidR="0036129F" w:rsidRPr="00001EEE" w:rsidRDefault="0036129F" w:rsidP="0036129F">
      <w:pPr>
        <w:rPr>
          <w:rFonts w:ascii="Calibri" w:hAnsi="Calibri"/>
          <w:sz w:val="22"/>
          <w:szCs w:val="22"/>
        </w:rPr>
      </w:pPr>
      <w:r w:rsidRPr="00001EEE">
        <w:rPr>
          <w:rFonts w:ascii="Calibri" w:hAnsi="Calibri"/>
          <w:sz w:val="22"/>
          <w:szCs w:val="22"/>
        </w:rPr>
        <w:t>Of the following, the BEST feeding plan for this infant is</w:t>
      </w:r>
    </w:p>
    <w:p w:rsidR="0036129F" w:rsidRPr="00001EEE" w:rsidRDefault="0036129F" w:rsidP="0036129F">
      <w:pPr>
        <w:rPr>
          <w:rFonts w:ascii="Calibri" w:hAnsi="Calibri"/>
          <w:sz w:val="22"/>
          <w:szCs w:val="22"/>
        </w:rPr>
      </w:pPr>
    </w:p>
    <w:p w:rsidR="0036129F" w:rsidRPr="00001EEE" w:rsidRDefault="0036129F" w:rsidP="0036129F">
      <w:pPr>
        <w:rPr>
          <w:rFonts w:ascii="Calibri" w:hAnsi="Calibri"/>
          <w:sz w:val="22"/>
          <w:szCs w:val="22"/>
        </w:rPr>
      </w:pPr>
      <w:r w:rsidRPr="00001EEE">
        <w:rPr>
          <w:rFonts w:ascii="Calibri" w:hAnsi="Calibri"/>
          <w:sz w:val="22"/>
          <w:szCs w:val="22"/>
        </w:rPr>
        <w:tab/>
        <w:t>A.</w:t>
      </w:r>
      <w:r w:rsidRPr="00001EEE">
        <w:rPr>
          <w:rFonts w:ascii="Calibri" w:hAnsi="Calibri"/>
          <w:sz w:val="22"/>
          <w:szCs w:val="22"/>
        </w:rPr>
        <w:tab/>
        <w:t>2 oz every 3 hours</w:t>
      </w:r>
    </w:p>
    <w:p w:rsidR="0036129F" w:rsidRPr="00001EEE" w:rsidRDefault="0036129F" w:rsidP="0036129F">
      <w:pPr>
        <w:ind w:firstLine="720"/>
        <w:rPr>
          <w:rFonts w:ascii="Calibri" w:hAnsi="Calibri"/>
          <w:sz w:val="22"/>
          <w:szCs w:val="22"/>
        </w:rPr>
      </w:pPr>
      <w:r w:rsidRPr="00001EEE">
        <w:rPr>
          <w:rFonts w:ascii="Calibri" w:hAnsi="Calibri"/>
          <w:sz w:val="22"/>
          <w:szCs w:val="22"/>
        </w:rPr>
        <w:t>B.</w:t>
      </w:r>
      <w:r w:rsidRPr="00001EEE">
        <w:rPr>
          <w:rFonts w:ascii="Calibri" w:hAnsi="Calibri"/>
          <w:sz w:val="22"/>
          <w:szCs w:val="22"/>
        </w:rPr>
        <w:tab/>
        <w:t>3 oz every 3 hours</w:t>
      </w:r>
    </w:p>
    <w:p w:rsidR="0036129F" w:rsidRPr="00001EEE" w:rsidRDefault="0036129F" w:rsidP="0036129F">
      <w:pPr>
        <w:rPr>
          <w:rFonts w:ascii="Calibri" w:hAnsi="Calibri"/>
          <w:sz w:val="22"/>
          <w:szCs w:val="22"/>
        </w:rPr>
      </w:pPr>
      <w:r w:rsidRPr="00001EEE">
        <w:rPr>
          <w:rFonts w:ascii="Calibri" w:hAnsi="Calibri"/>
          <w:sz w:val="22"/>
          <w:szCs w:val="22"/>
        </w:rPr>
        <w:tab/>
        <w:t>C.</w:t>
      </w:r>
      <w:r w:rsidRPr="00001EEE">
        <w:rPr>
          <w:rFonts w:ascii="Calibri" w:hAnsi="Calibri"/>
          <w:sz w:val="22"/>
          <w:szCs w:val="22"/>
        </w:rPr>
        <w:tab/>
        <w:t>4 oz every 3 hours</w:t>
      </w:r>
    </w:p>
    <w:p w:rsidR="0036129F" w:rsidRPr="00001EEE" w:rsidRDefault="0036129F" w:rsidP="0036129F">
      <w:pPr>
        <w:rPr>
          <w:rFonts w:ascii="Calibri" w:hAnsi="Calibri"/>
          <w:sz w:val="22"/>
          <w:szCs w:val="22"/>
        </w:rPr>
      </w:pPr>
      <w:r w:rsidRPr="00001EEE">
        <w:rPr>
          <w:rFonts w:ascii="Calibri" w:hAnsi="Calibri"/>
          <w:sz w:val="22"/>
          <w:szCs w:val="22"/>
        </w:rPr>
        <w:tab/>
        <w:t>D.</w:t>
      </w:r>
      <w:r w:rsidRPr="00001EEE">
        <w:rPr>
          <w:rFonts w:ascii="Calibri" w:hAnsi="Calibri"/>
          <w:sz w:val="22"/>
          <w:szCs w:val="22"/>
        </w:rPr>
        <w:tab/>
        <w:t>5 oz every 3 hours</w:t>
      </w:r>
    </w:p>
    <w:p w:rsidR="0036129F" w:rsidRPr="00001EEE" w:rsidRDefault="0036129F" w:rsidP="0036129F">
      <w:pPr>
        <w:rPr>
          <w:rFonts w:ascii="Calibri" w:hAnsi="Calibri"/>
          <w:sz w:val="22"/>
          <w:szCs w:val="22"/>
        </w:rPr>
      </w:pPr>
    </w:p>
    <w:p w:rsidR="0036129F" w:rsidRPr="00001EEE" w:rsidRDefault="0036129F" w:rsidP="0036129F">
      <w:pPr>
        <w:rPr>
          <w:rFonts w:ascii="Calibri" w:hAnsi="Calibri"/>
          <w:sz w:val="22"/>
          <w:szCs w:val="22"/>
        </w:rPr>
      </w:pPr>
    </w:p>
    <w:p w:rsidR="0036129F" w:rsidRPr="00001EEE" w:rsidRDefault="0036129F" w:rsidP="0036129F">
      <w:pPr>
        <w:rPr>
          <w:rFonts w:ascii="Calibri" w:hAnsi="Calibri"/>
          <w:sz w:val="22"/>
          <w:szCs w:val="22"/>
        </w:rPr>
      </w:pPr>
      <w:r w:rsidRPr="00001EEE">
        <w:rPr>
          <w:rFonts w:ascii="Calibri" w:hAnsi="Calibri"/>
          <w:sz w:val="22"/>
          <w:szCs w:val="22"/>
        </w:rPr>
        <w:t>Correct Answer: C</w:t>
      </w:r>
    </w:p>
    <w:p w:rsidR="0036129F" w:rsidRPr="00001EEE" w:rsidRDefault="0036129F" w:rsidP="0036129F">
      <w:pPr>
        <w:rPr>
          <w:rFonts w:ascii="Calibri" w:hAnsi="Calibri"/>
          <w:sz w:val="22"/>
          <w:szCs w:val="22"/>
        </w:rPr>
      </w:pPr>
    </w:p>
    <w:p w:rsidR="0036129F" w:rsidRPr="00001EEE" w:rsidRDefault="0036129F" w:rsidP="0036129F">
      <w:pPr>
        <w:rPr>
          <w:rFonts w:ascii="Calibri" w:hAnsi="Calibri"/>
          <w:sz w:val="22"/>
          <w:szCs w:val="22"/>
        </w:rPr>
      </w:pPr>
      <w:r w:rsidRPr="00001EEE">
        <w:rPr>
          <w:rFonts w:ascii="Calibri" w:hAnsi="Calibri"/>
          <w:sz w:val="22"/>
          <w:szCs w:val="22"/>
        </w:rPr>
        <w:t>The infant in this vignette has a systolic murmur, crackles in the lungs, and hepatomegaly, which are consistent with congestive heart failure likely related to her ventricular septal defect. Her weight percentile for age has decreased from the 50th to the 2nd, indicating failure to thrive. The recommended intake goal for infants with congestive heart failure is 140 kcal/kg/day. Since the infant’s weight is 4.6 kg, she needs 644 kcal/day (140 kcal/kg/day × 4.6 kg = 644 kcal/day). Standard formula contains 20 kcal/oz, so the infant requires 32 oz/day (644 kcal/day divided by 20 kcal/oz). Feedings are typically every 3 hours at this age for a total of 8 feedings daily. A total daily intake of 32 oz divided by 8 feedings is 4 oz every 3 hours, making it the best response listed.</w:t>
      </w:r>
    </w:p>
    <w:p w:rsidR="0036129F" w:rsidRPr="00001EEE" w:rsidRDefault="0036129F" w:rsidP="0036129F">
      <w:pPr>
        <w:rPr>
          <w:rFonts w:ascii="Calibri" w:hAnsi="Calibri"/>
          <w:sz w:val="22"/>
          <w:szCs w:val="22"/>
        </w:rPr>
      </w:pPr>
    </w:p>
    <w:p w:rsidR="0036129F" w:rsidRPr="00001EEE" w:rsidRDefault="0036129F" w:rsidP="0036129F">
      <w:pPr>
        <w:rPr>
          <w:rFonts w:ascii="Calibri" w:hAnsi="Calibri"/>
          <w:sz w:val="22"/>
          <w:szCs w:val="22"/>
        </w:rPr>
      </w:pPr>
      <w:r w:rsidRPr="00001EEE">
        <w:rPr>
          <w:rFonts w:ascii="Calibri" w:hAnsi="Calibri"/>
          <w:sz w:val="22"/>
          <w:szCs w:val="22"/>
        </w:rPr>
        <w:t xml:space="preserve">Children with failure to thrive or poor weight gain fall into 1 of 3 categories: insufficient caloric intake, insufficient absorption of the calories they consume, or increased caloric needs due to increased metabolic demand. The infant in this vignette has increased metabolic demand caused by congestive heart failure and is only receiving about 70 kcal/kg/day, which is not </w:t>
      </w:r>
      <w:proofErr w:type="gramStart"/>
      <w:r w:rsidRPr="00001EEE">
        <w:rPr>
          <w:rFonts w:ascii="Calibri" w:hAnsi="Calibri"/>
          <w:sz w:val="22"/>
          <w:szCs w:val="22"/>
        </w:rPr>
        <w:t>sufficient</w:t>
      </w:r>
      <w:proofErr w:type="gramEnd"/>
      <w:r w:rsidRPr="00001EEE">
        <w:rPr>
          <w:rFonts w:ascii="Calibri" w:hAnsi="Calibri"/>
          <w:sz w:val="22"/>
          <w:szCs w:val="22"/>
        </w:rPr>
        <w:t>.</w:t>
      </w:r>
    </w:p>
    <w:p w:rsidR="0036129F" w:rsidRPr="00001EEE" w:rsidRDefault="0036129F" w:rsidP="0036129F">
      <w:pPr>
        <w:rPr>
          <w:rFonts w:ascii="Calibri" w:hAnsi="Calibri"/>
          <w:sz w:val="22"/>
          <w:szCs w:val="22"/>
        </w:rPr>
      </w:pPr>
    </w:p>
    <w:p w:rsidR="0036129F" w:rsidRPr="00001EEE" w:rsidRDefault="0036129F" w:rsidP="0036129F">
      <w:pPr>
        <w:rPr>
          <w:rFonts w:ascii="Calibri" w:hAnsi="Calibri"/>
          <w:sz w:val="22"/>
          <w:szCs w:val="22"/>
        </w:rPr>
      </w:pPr>
      <w:r w:rsidRPr="00001EEE">
        <w:rPr>
          <w:rFonts w:ascii="Calibri" w:hAnsi="Calibri"/>
          <w:sz w:val="22"/>
          <w:szCs w:val="22"/>
        </w:rPr>
        <w:t>Children with congestive heart failure often require additional considerations for fluid management and possibly fluid restriction. The addition of a diuretic such as furosemide is common in this clinical setting and should be discussed with the cardiologist. To accomplish adequate caloric intake of 140 kcal/kg/day with decreased fluid intake, the formula can be concentrated to 22 to 26 kcal/oz, depending on the degree of fluid restriction required. A nutrition plan with consideration of increased caloric demands and need for fluid restriction should be discussed with the dietitian and cardiologist, and weight gain should be closely monitored.</w:t>
      </w:r>
    </w:p>
    <w:p w:rsidR="0036129F" w:rsidRPr="00001EEE" w:rsidRDefault="0036129F" w:rsidP="0036129F">
      <w:pPr>
        <w:rPr>
          <w:rFonts w:ascii="Calibri" w:hAnsi="Calibri"/>
          <w:sz w:val="22"/>
          <w:szCs w:val="22"/>
        </w:rPr>
      </w:pPr>
    </w:p>
    <w:p w:rsidR="0036129F" w:rsidRPr="00001EEE" w:rsidRDefault="0036129F" w:rsidP="0036129F">
      <w:pPr>
        <w:rPr>
          <w:rFonts w:ascii="Calibri" w:hAnsi="Calibri"/>
          <w:sz w:val="22"/>
          <w:szCs w:val="22"/>
        </w:rPr>
      </w:pPr>
      <w:r w:rsidRPr="00001EEE">
        <w:rPr>
          <w:rFonts w:ascii="Calibri" w:hAnsi="Calibri"/>
          <w:sz w:val="22"/>
          <w:szCs w:val="22"/>
        </w:rPr>
        <w:lastRenderedPageBreak/>
        <w:t>PREP Pearls</w:t>
      </w:r>
    </w:p>
    <w:p w:rsidR="0036129F" w:rsidRPr="00001EEE" w:rsidRDefault="0036129F" w:rsidP="0036129F">
      <w:pPr>
        <w:pStyle w:val="ListParagraph"/>
        <w:numPr>
          <w:ilvl w:val="0"/>
          <w:numId w:val="4"/>
        </w:numPr>
        <w:rPr>
          <w:rFonts w:ascii="Calibri" w:hAnsi="Calibri"/>
          <w:sz w:val="22"/>
          <w:szCs w:val="22"/>
        </w:rPr>
      </w:pPr>
      <w:r w:rsidRPr="00001EEE">
        <w:rPr>
          <w:rFonts w:ascii="Calibri" w:hAnsi="Calibri"/>
          <w:sz w:val="22"/>
          <w:szCs w:val="22"/>
        </w:rPr>
        <w:t>Children with poor weight gain either have insufficient intake, poor absorption, or increased metabolic demands.</w:t>
      </w:r>
    </w:p>
    <w:p w:rsidR="0036129F" w:rsidRPr="00001EEE" w:rsidRDefault="0036129F" w:rsidP="0036129F">
      <w:pPr>
        <w:pStyle w:val="ListParagraph"/>
        <w:numPr>
          <w:ilvl w:val="0"/>
          <w:numId w:val="4"/>
        </w:numPr>
        <w:rPr>
          <w:rFonts w:ascii="Calibri" w:hAnsi="Calibri"/>
          <w:sz w:val="22"/>
          <w:szCs w:val="22"/>
        </w:rPr>
      </w:pPr>
      <w:r w:rsidRPr="00001EEE">
        <w:rPr>
          <w:rFonts w:ascii="Calibri" w:hAnsi="Calibri"/>
          <w:sz w:val="22"/>
          <w:szCs w:val="22"/>
        </w:rPr>
        <w:t>Infants with congestive heart failure have higher caloric requirements than otherwise healthy infants.</w:t>
      </w:r>
    </w:p>
    <w:p w:rsidR="0036129F" w:rsidRPr="00001EEE" w:rsidRDefault="0036129F" w:rsidP="0036129F">
      <w:pPr>
        <w:pStyle w:val="ListParagraph"/>
        <w:numPr>
          <w:ilvl w:val="0"/>
          <w:numId w:val="4"/>
        </w:numPr>
        <w:pBdr>
          <w:bottom w:val="single" w:sz="6" w:space="1" w:color="auto"/>
        </w:pBdr>
        <w:rPr>
          <w:rFonts w:ascii="Calibri" w:hAnsi="Calibri"/>
          <w:sz w:val="22"/>
          <w:szCs w:val="22"/>
        </w:rPr>
      </w:pPr>
      <w:r w:rsidRPr="00001EEE">
        <w:rPr>
          <w:rFonts w:ascii="Calibri" w:hAnsi="Calibri"/>
          <w:sz w:val="22"/>
          <w:szCs w:val="22"/>
        </w:rPr>
        <w:t>Monitoring of an infant’s growth on a standard World Health Organization growth chart is important at every routine examination.</w:t>
      </w:r>
    </w:p>
    <w:p w:rsidR="0036129F" w:rsidRDefault="0036129F" w:rsidP="0036129F">
      <w:pPr>
        <w:rPr>
          <w:rFonts w:ascii="Calibri" w:hAnsi="Calibri"/>
          <w:sz w:val="22"/>
          <w:szCs w:val="22"/>
        </w:rPr>
      </w:pPr>
    </w:p>
    <w:p w:rsidR="0036129F" w:rsidRDefault="0036129F" w:rsidP="0036129F">
      <w:pPr>
        <w:pStyle w:val="ListParagraph"/>
        <w:numPr>
          <w:ilvl w:val="0"/>
          <w:numId w:val="1"/>
        </w:numPr>
        <w:rPr>
          <w:rFonts w:ascii="Calibri" w:hAnsi="Calibri"/>
          <w:sz w:val="22"/>
          <w:szCs w:val="22"/>
        </w:rPr>
      </w:pPr>
      <w:r>
        <w:rPr>
          <w:rFonts w:ascii="Calibri" w:hAnsi="Calibri"/>
          <w:sz w:val="22"/>
          <w:szCs w:val="22"/>
        </w:rPr>
        <w:t xml:space="preserve">A </w:t>
      </w:r>
      <w:proofErr w:type="gramStart"/>
      <w:r>
        <w:rPr>
          <w:rFonts w:ascii="Calibri" w:hAnsi="Calibri"/>
          <w:sz w:val="22"/>
          <w:szCs w:val="22"/>
        </w:rPr>
        <w:t>12 year old</w:t>
      </w:r>
      <w:proofErr w:type="gramEnd"/>
      <w:r>
        <w:rPr>
          <w:rFonts w:ascii="Calibri" w:hAnsi="Calibri"/>
          <w:sz w:val="22"/>
          <w:szCs w:val="22"/>
        </w:rPr>
        <w:t xml:space="preserve"> boy is brought to your office for a health supervision visit. His body mass index has dropped from 50</w:t>
      </w:r>
      <w:r w:rsidRPr="00741D9C">
        <w:rPr>
          <w:rFonts w:ascii="Calibri" w:hAnsi="Calibri"/>
          <w:sz w:val="22"/>
          <w:szCs w:val="22"/>
          <w:vertAlign w:val="superscript"/>
        </w:rPr>
        <w:t>th</w:t>
      </w:r>
      <w:r>
        <w:rPr>
          <w:rFonts w:ascii="Calibri" w:hAnsi="Calibri"/>
          <w:sz w:val="22"/>
          <w:szCs w:val="22"/>
        </w:rPr>
        <w:t xml:space="preserve"> to the 20</w:t>
      </w:r>
      <w:r w:rsidRPr="00741D9C">
        <w:rPr>
          <w:rFonts w:ascii="Calibri" w:hAnsi="Calibri"/>
          <w:sz w:val="22"/>
          <w:szCs w:val="22"/>
          <w:vertAlign w:val="superscript"/>
        </w:rPr>
        <w:t>th</w:t>
      </w:r>
      <w:r>
        <w:rPr>
          <w:rFonts w:ascii="Calibri" w:hAnsi="Calibri"/>
          <w:sz w:val="22"/>
          <w:szCs w:val="22"/>
        </w:rPr>
        <w:t xml:space="preserve"> percentile. His mother reports that he has developed anxiety around eating and is not eating as much as he used to following an episode of food impaction several months ago. He was able to clear the impaction prior to evaluation in the emergency department. He reports no dysphagia, odynophagia or emesis. He now takes longer than the entire family to eat and is drinking large volumes of water with meals. His medical history is positive for eczema and asthma. </w:t>
      </w:r>
    </w:p>
    <w:p w:rsidR="0036129F" w:rsidRDefault="0036129F" w:rsidP="0036129F">
      <w:pPr>
        <w:ind w:left="720"/>
        <w:rPr>
          <w:rFonts w:ascii="Calibri" w:hAnsi="Calibri"/>
          <w:sz w:val="22"/>
          <w:szCs w:val="22"/>
        </w:rPr>
      </w:pPr>
    </w:p>
    <w:p w:rsidR="0036129F" w:rsidRDefault="0036129F" w:rsidP="0036129F">
      <w:pPr>
        <w:ind w:left="720"/>
        <w:rPr>
          <w:rFonts w:ascii="Calibri" w:hAnsi="Calibri"/>
          <w:sz w:val="22"/>
          <w:szCs w:val="22"/>
        </w:rPr>
      </w:pPr>
      <w:r>
        <w:rPr>
          <w:rFonts w:ascii="Calibri" w:hAnsi="Calibri"/>
          <w:sz w:val="22"/>
          <w:szCs w:val="22"/>
        </w:rPr>
        <w:t xml:space="preserve">He has normal vital signs. He appears to be thin and is in no distress. He has no oral lesions. His abdomen is soft, nontender to palpation and without mass. Of the following the most likely diagnosis is: </w:t>
      </w:r>
    </w:p>
    <w:p w:rsidR="0036129F" w:rsidRDefault="0036129F" w:rsidP="0036129F">
      <w:pPr>
        <w:ind w:left="720"/>
        <w:rPr>
          <w:rFonts w:ascii="Calibri" w:hAnsi="Calibri"/>
          <w:sz w:val="22"/>
          <w:szCs w:val="22"/>
        </w:rPr>
      </w:pPr>
    </w:p>
    <w:p w:rsidR="0036129F" w:rsidRDefault="0036129F" w:rsidP="0036129F">
      <w:pPr>
        <w:pStyle w:val="ListParagraph"/>
        <w:numPr>
          <w:ilvl w:val="0"/>
          <w:numId w:val="5"/>
        </w:numPr>
        <w:rPr>
          <w:rFonts w:ascii="Calibri" w:hAnsi="Calibri"/>
          <w:sz w:val="22"/>
          <w:szCs w:val="22"/>
        </w:rPr>
      </w:pPr>
      <w:r>
        <w:rPr>
          <w:rFonts w:ascii="Calibri" w:hAnsi="Calibri"/>
          <w:sz w:val="22"/>
          <w:szCs w:val="22"/>
        </w:rPr>
        <w:t xml:space="preserve">Achalasia </w:t>
      </w:r>
    </w:p>
    <w:p w:rsidR="0036129F" w:rsidRDefault="0036129F" w:rsidP="0036129F">
      <w:pPr>
        <w:pStyle w:val="ListParagraph"/>
        <w:numPr>
          <w:ilvl w:val="0"/>
          <w:numId w:val="5"/>
        </w:numPr>
        <w:rPr>
          <w:rFonts w:ascii="Calibri" w:hAnsi="Calibri"/>
          <w:sz w:val="22"/>
          <w:szCs w:val="22"/>
        </w:rPr>
      </w:pPr>
      <w:r>
        <w:rPr>
          <w:rFonts w:ascii="Calibri" w:hAnsi="Calibri"/>
          <w:sz w:val="22"/>
          <w:szCs w:val="22"/>
        </w:rPr>
        <w:t>Eosinophilic esophagitis</w:t>
      </w:r>
    </w:p>
    <w:p w:rsidR="0036129F" w:rsidRDefault="0036129F" w:rsidP="0036129F">
      <w:pPr>
        <w:pStyle w:val="ListParagraph"/>
        <w:numPr>
          <w:ilvl w:val="0"/>
          <w:numId w:val="5"/>
        </w:numPr>
        <w:rPr>
          <w:rFonts w:ascii="Calibri" w:hAnsi="Calibri"/>
          <w:sz w:val="22"/>
          <w:szCs w:val="22"/>
        </w:rPr>
      </w:pPr>
      <w:r>
        <w:rPr>
          <w:rFonts w:ascii="Calibri" w:hAnsi="Calibri"/>
          <w:sz w:val="22"/>
          <w:szCs w:val="22"/>
        </w:rPr>
        <w:t xml:space="preserve">esophageal stricture </w:t>
      </w:r>
      <w:r w:rsidRPr="00741D9C">
        <w:rPr>
          <w:rFonts w:ascii="Calibri" w:hAnsi="Calibri"/>
          <w:sz w:val="22"/>
          <w:szCs w:val="22"/>
        </w:rPr>
        <w:t xml:space="preserve"> </w:t>
      </w:r>
    </w:p>
    <w:p w:rsidR="0036129F" w:rsidRDefault="0036129F" w:rsidP="0036129F">
      <w:pPr>
        <w:pStyle w:val="ListParagraph"/>
        <w:numPr>
          <w:ilvl w:val="0"/>
          <w:numId w:val="5"/>
        </w:numPr>
        <w:rPr>
          <w:rFonts w:ascii="Calibri" w:hAnsi="Calibri"/>
          <w:sz w:val="22"/>
          <w:szCs w:val="22"/>
        </w:rPr>
      </w:pPr>
      <w:r>
        <w:rPr>
          <w:rFonts w:ascii="Calibri" w:hAnsi="Calibri"/>
          <w:sz w:val="22"/>
          <w:szCs w:val="22"/>
        </w:rPr>
        <w:t>gastroesophageal reflux disease</w:t>
      </w:r>
    </w:p>
    <w:p w:rsidR="0036129F" w:rsidRDefault="0036129F" w:rsidP="0036129F">
      <w:pPr>
        <w:pStyle w:val="ListParagraph"/>
        <w:numPr>
          <w:ilvl w:val="0"/>
          <w:numId w:val="5"/>
        </w:numPr>
        <w:rPr>
          <w:rFonts w:ascii="Calibri" w:hAnsi="Calibri"/>
          <w:sz w:val="22"/>
          <w:szCs w:val="22"/>
        </w:rPr>
      </w:pPr>
      <w:r>
        <w:rPr>
          <w:rFonts w:ascii="Calibri" w:hAnsi="Calibri"/>
          <w:sz w:val="22"/>
          <w:szCs w:val="22"/>
        </w:rPr>
        <w:t xml:space="preserve">nutcracker esophagus </w:t>
      </w:r>
    </w:p>
    <w:p w:rsidR="0036129F" w:rsidRDefault="0036129F" w:rsidP="0036129F">
      <w:pPr>
        <w:pStyle w:val="ListParagraph"/>
        <w:ind w:left="1080"/>
        <w:rPr>
          <w:rFonts w:ascii="Calibri" w:hAnsi="Calibri"/>
          <w:sz w:val="22"/>
          <w:szCs w:val="22"/>
        </w:rPr>
      </w:pPr>
    </w:p>
    <w:p w:rsidR="0036129F" w:rsidRDefault="0036129F" w:rsidP="0036129F">
      <w:pPr>
        <w:rPr>
          <w:rFonts w:ascii="Calibri" w:hAnsi="Calibri"/>
          <w:sz w:val="22"/>
          <w:szCs w:val="22"/>
        </w:rPr>
      </w:pPr>
      <w:r>
        <w:rPr>
          <w:rFonts w:ascii="Calibri" w:hAnsi="Calibri"/>
          <w:sz w:val="22"/>
          <w:szCs w:val="22"/>
        </w:rPr>
        <w:t xml:space="preserve">ANSWER: B) eosinophilic esophagitis </w:t>
      </w:r>
    </w:p>
    <w:p w:rsidR="0036129F" w:rsidRDefault="0036129F" w:rsidP="0036129F">
      <w:pPr>
        <w:rPr>
          <w:rFonts w:ascii="Calibri" w:hAnsi="Calibri"/>
          <w:sz w:val="22"/>
          <w:szCs w:val="22"/>
        </w:rPr>
      </w:pPr>
    </w:p>
    <w:p w:rsidR="0036129F" w:rsidRDefault="0036129F" w:rsidP="0036129F">
      <w:pPr>
        <w:rPr>
          <w:rFonts w:ascii="Calibri" w:hAnsi="Calibri"/>
          <w:sz w:val="22"/>
          <w:szCs w:val="22"/>
        </w:rPr>
      </w:pPr>
      <w:r>
        <w:rPr>
          <w:rFonts w:ascii="Calibri" w:hAnsi="Calibri"/>
          <w:sz w:val="22"/>
          <w:szCs w:val="22"/>
        </w:rPr>
        <w:t xml:space="preserve">The boy in this vignette has eosinophilic esophagitis. This diagnosis is based on his history of food impaction, slow eating with excessive chewing and flushing his food down with large volumes of liquids, and atopy (asthma and eczema). He reports no dysphagia or odynophagia, which would be expected with esophageal stricture, achalasia, and nutcracker esophagus. Children with GERD are not likely to experience food impactions. </w:t>
      </w:r>
    </w:p>
    <w:p w:rsidR="0036129F" w:rsidRDefault="0036129F" w:rsidP="0036129F">
      <w:pPr>
        <w:rPr>
          <w:rFonts w:ascii="Calibri" w:hAnsi="Calibri"/>
          <w:sz w:val="22"/>
          <w:szCs w:val="22"/>
        </w:rPr>
      </w:pPr>
    </w:p>
    <w:p w:rsidR="0036129F" w:rsidRDefault="0036129F" w:rsidP="0036129F">
      <w:pPr>
        <w:rPr>
          <w:rFonts w:ascii="Calibri" w:hAnsi="Calibri"/>
          <w:sz w:val="22"/>
          <w:szCs w:val="22"/>
        </w:rPr>
      </w:pPr>
      <w:r>
        <w:rPr>
          <w:rFonts w:ascii="Calibri" w:hAnsi="Calibri"/>
          <w:sz w:val="22"/>
          <w:szCs w:val="22"/>
        </w:rPr>
        <w:t xml:space="preserve">Eosinophilic esophagitis is an allergy/immune condition in which large numbers of eosinophils are found in the esophagus. </w:t>
      </w:r>
    </w:p>
    <w:p w:rsidR="0036129F" w:rsidRDefault="0036129F" w:rsidP="0036129F">
      <w:pPr>
        <w:rPr>
          <w:rFonts w:ascii="Calibri" w:hAnsi="Calibri"/>
          <w:sz w:val="22"/>
          <w:szCs w:val="22"/>
        </w:rPr>
      </w:pPr>
      <w:r>
        <w:rPr>
          <w:rFonts w:ascii="Calibri" w:hAnsi="Calibri"/>
          <w:sz w:val="22"/>
          <w:szCs w:val="22"/>
        </w:rPr>
        <w:br/>
        <w:t xml:space="preserve">Presentation can vary significantly but may include the following: </w:t>
      </w:r>
    </w:p>
    <w:p w:rsidR="0036129F" w:rsidRDefault="0036129F" w:rsidP="0036129F">
      <w:pPr>
        <w:pStyle w:val="ListParagraph"/>
        <w:numPr>
          <w:ilvl w:val="0"/>
          <w:numId w:val="6"/>
        </w:numPr>
        <w:rPr>
          <w:rFonts w:ascii="Calibri" w:hAnsi="Calibri"/>
          <w:sz w:val="22"/>
          <w:szCs w:val="22"/>
        </w:rPr>
      </w:pPr>
      <w:r>
        <w:rPr>
          <w:rFonts w:ascii="Calibri" w:hAnsi="Calibri"/>
          <w:sz w:val="22"/>
          <w:szCs w:val="22"/>
        </w:rPr>
        <w:t>gastroesophageal reflux unresponsive to acid blockade</w:t>
      </w:r>
    </w:p>
    <w:p w:rsidR="0036129F" w:rsidRDefault="0036129F" w:rsidP="0036129F">
      <w:pPr>
        <w:pStyle w:val="ListParagraph"/>
        <w:numPr>
          <w:ilvl w:val="0"/>
          <w:numId w:val="6"/>
        </w:numPr>
        <w:rPr>
          <w:rFonts w:ascii="Calibri" w:hAnsi="Calibri"/>
          <w:sz w:val="22"/>
          <w:szCs w:val="22"/>
        </w:rPr>
      </w:pPr>
      <w:r>
        <w:rPr>
          <w:rFonts w:ascii="Calibri" w:hAnsi="Calibri"/>
          <w:sz w:val="22"/>
          <w:szCs w:val="22"/>
        </w:rPr>
        <w:t>food refusal in infants and toddlers</w:t>
      </w:r>
    </w:p>
    <w:p w:rsidR="0036129F" w:rsidRDefault="0036129F" w:rsidP="0036129F">
      <w:pPr>
        <w:pStyle w:val="ListParagraph"/>
        <w:numPr>
          <w:ilvl w:val="0"/>
          <w:numId w:val="6"/>
        </w:numPr>
        <w:rPr>
          <w:rFonts w:ascii="Calibri" w:hAnsi="Calibri"/>
          <w:sz w:val="22"/>
          <w:szCs w:val="22"/>
        </w:rPr>
      </w:pPr>
      <w:r>
        <w:rPr>
          <w:rFonts w:ascii="Calibri" w:hAnsi="Calibri"/>
          <w:sz w:val="22"/>
          <w:szCs w:val="22"/>
        </w:rPr>
        <w:t xml:space="preserve">odynophagia </w:t>
      </w:r>
    </w:p>
    <w:p w:rsidR="0036129F" w:rsidRDefault="0036129F" w:rsidP="0036129F">
      <w:pPr>
        <w:pStyle w:val="ListParagraph"/>
        <w:numPr>
          <w:ilvl w:val="0"/>
          <w:numId w:val="6"/>
        </w:numPr>
        <w:rPr>
          <w:rFonts w:ascii="Calibri" w:hAnsi="Calibri"/>
          <w:sz w:val="22"/>
          <w:szCs w:val="22"/>
        </w:rPr>
      </w:pPr>
      <w:r>
        <w:rPr>
          <w:rFonts w:ascii="Calibri" w:hAnsi="Calibri"/>
          <w:sz w:val="22"/>
          <w:szCs w:val="22"/>
        </w:rPr>
        <w:t>chronic abdominal pain and vomiting in school aged children</w:t>
      </w:r>
    </w:p>
    <w:p w:rsidR="0036129F" w:rsidRDefault="0036129F" w:rsidP="0036129F">
      <w:pPr>
        <w:pStyle w:val="ListParagraph"/>
        <w:numPr>
          <w:ilvl w:val="0"/>
          <w:numId w:val="6"/>
        </w:numPr>
        <w:rPr>
          <w:rFonts w:ascii="Calibri" w:hAnsi="Calibri"/>
          <w:sz w:val="22"/>
          <w:szCs w:val="22"/>
        </w:rPr>
      </w:pPr>
      <w:r>
        <w:rPr>
          <w:rFonts w:ascii="Calibri" w:hAnsi="Calibri"/>
          <w:sz w:val="22"/>
          <w:szCs w:val="22"/>
        </w:rPr>
        <w:t xml:space="preserve">dysphagia with food impactions in adolescents and adults </w:t>
      </w:r>
    </w:p>
    <w:p w:rsidR="0036129F" w:rsidRDefault="0036129F" w:rsidP="0036129F">
      <w:pPr>
        <w:pStyle w:val="ListParagraph"/>
        <w:numPr>
          <w:ilvl w:val="0"/>
          <w:numId w:val="6"/>
        </w:numPr>
        <w:rPr>
          <w:rFonts w:ascii="Calibri" w:hAnsi="Calibri"/>
          <w:sz w:val="22"/>
          <w:szCs w:val="22"/>
        </w:rPr>
      </w:pPr>
      <w:r>
        <w:rPr>
          <w:rFonts w:ascii="Calibri" w:hAnsi="Calibri"/>
          <w:sz w:val="22"/>
          <w:szCs w:val="22"/>
        </w:rPr>
        <w:t>prolonged chewing and food lubrication (excessive sauce or liquid consumption with eating)</w:t>
      </w:r>
    </w:p>
    <w:p w:rsidR="0036129F" w:rsidRDefault="0036129F" w:rsidP="0036129F">
      <w:pPr>
        <w:pStyle w:val="ListParagraph"/>
        <w:numPr>
          <w:ilvl w:val="0"/>
          <w:numId w:val="6"/>
        </w:numPr>
        <w:rPr>
          <w:rFonts w:ascii="Calibri" w:hAnsi="Calibri"/>
          <w:sz w:val="22"/>
          <w:szCs w:val="22"/>
        </w:rPr>
      </w:pPr>
      <w:r>
        <w:rPr>
          <w:rFonts w:ascii="Calibri" w:hAnsi="Calibri"/>
          <w:sz w:val="22"/>
          <w:szCs w:val="22"/>
        </w:rPr>
        <w:t>a history of asthma, food allergies, eczema, chronic rhinitis, or familial atopy in 2/3 of patients</w:t>
      </w:r>
    </w:p>
    <w:p w:rsidR="0036129F" w:rsidRDefault="0036129F" w:rsidP="0036129F">
      <w:pPr>
        <w:rPr>
          <w:rFonts w:ascii="Calibri" w:hAnsi="Calibri"/>
          <w:sz w:val="22"/>
          <w:szCs w:val="22"/>
        </w:rPr>
      </w:pPr>
      <w:r>
        <w:rPr>
          <w:rFonts w:ascii="Calibri" w:hAnsi="Calibri"/>
          <w:sz w:val="22"/>
          <w:szCs w:val="22"/>
        </w:rPr>
        <w:lastRenderedPageBreak/>
        <w:t xml:space="preserve">Eosinophilic esophagitis can be a challenging diagnosis because of the broad differential diagnosis and overlap of symptoms. The gold standard of diagnosis is evaluation of esophageal biopsies. Untreated gastroesophageal reflux can appear very similar to eosinophilic esophagitis with eosinophils on biopsy. Therefore, children should be placed on proton pump inhibitors for a minimum of 6 weeks prior to endoscopy. In children with eosinophilic esophagitis the esophagus often demonstrates longitudinal furrows, white plaques, and pallor. Biopsies should include both distal and proximal esophagus. Eosinophilic esophagitis is diagnosed if there are more than 15 eosinophils per high powered field while on a proton pump inhibitor. </w:t>
      </w:r>
    </w:p>
    <w:p w:rsidR="0036129F" w:rsidRDefault="0036129F" w:rsidP="0036129F">
      <w:pPr>
        <w:rPr>
          <w:rFonts w:ascii="Calibri" w:hAnsi="Calibri"/>
          <w:sz w:val="22"/>
          <w:szCs w:val="22"/>
        </w:rPr>
      </w:pPr>
    </w:p>
    <w:p w:rsidR="0036129F" w:rsidRDefault="0036129F" w:rsidP="0036129F">
      <w:pPr>
        <w:rPr>
          <w:rFonts w:ascii="Calibri" w:hAnsi="Calibri"/>
          <w:sz w:val="22"/>
          <w:szCs w:val="22"/>
        </w:rPr>
      </w:pPr>
      <w:r>
        <w:rPr>
          <w:rFonts w:ascii="Calibri" w:hAnsi="Calibri"/>
          <w:sz w:val="22"/>
          <w:szCs w:val="22"/>
        </w:rPr>
        <w:t xml:space="preserve">PREP PEARLS </w:t>
      </w:r>
    </w:p>
    <w:p w:rsidR="0036129F" w:rsidRDefault="0036129F" w:rsidP="0036129F">
      <w:pPr>
        <w:pStyle w:val="ListParagraph"/>
        <w:numPr>
          <w:ilvl w:val="0"/>
          <w:numId w:val="6"/>
        </w:numPr>
        <w:rPr>
          <w:rFonts w:ascii="Calibri" w:hAnsi="Calibri"/>
          <w:sz w:val="22"/>
          <w:szCs w:val="22"/>
        </w:rPr>
      </w:pPr>
      <w:r>
        <w:rPr>
          <w:rFonts w:ascii="Calibri" w:hAnsi="Calibri"/>
          <w:sz w:val="22"/>
          <w:szCs w:val="22"/>
        </w:rPr>
        <w:t xml:space="preserve">Eosinophilic esophagitis is an allergy/immune condition in which large numbers of </w:t>
      </w:r>
      <w:proofErr w:type="gramStart"/>
      <w:r>
        <w:rPr>
          <w:rFonts w:ascii="Calibri" w:hAnsi="Calibri"/>
          <w:sz w:val="22"/>
          <w:szCs w:val="22"/>
        </w:rPr>
        <w:t xml:space="preserve">eosinophils </w:t>
      </w:r>
      <w:r w:rsidRPr="00EB27FD">
        <w:rPr>
          <w:rFonts w:ascii="Calibri" w:hAnsi="Calibri"/>
          <w:sz w:val="22"/>
          <w:szCs w:val="22"/>
        </w:rPr>
        <w:t xml:space="preserve"> </w:t>
      </w:r>
      <w:r>
        <w:rPr>
          <w:rFonts w:ascii="Calibri" w:hAnsi="Calibri"/>
          <w:sz w:val="22"/>
          <w:szCs w:val="22"/>
        </w:rPr>
        <w:t>are</w:t>
      </w:r>
      <w:proofErr w:type="gramEnd"/>
      <w:r>
        <w:rPr>
          <w:rFonts w:ascii="Calibri" w:hAnsi="Calibri"/>
          <w:sz w:val="22"/>
          <w:szCs w:val="22"/>
        </w:rPr>
        <w:t xml:space="preserve"> found in the esophagus </w:t>
      </w:r>
    </w:p>
    <w:p w:rsidR="0036129F" w:rsidRDefault="0036129F" w:rsidP="0036129F">
      <w:pPr>
        <w:pStyle w:val="ListParagraph"/>
        <w:numPr>
          <w:ilvl w:val="0"/>
          <w:numId w:val="6"/>
        </w:numPr>
        <w:rPr>
          <w:rFonts w:ascii="Calibri" w:hAnsi="Calibri"/>
          <w:sz w:val="22"/>
          <w:szCs w:val="22"/>
        </w:rPr>
      </w:pPr>
      <w:r>
        <w:rPr>
          <w:rFonts w:ascii="Calibri" w:hAnsi="Calibri"/>
          <w:sz w:val="22"/>
          <w:szCs w:val="22"/>
        </w:rPr>
        <w:t xml:space="preserve">Eosinophilic esophagitis typically presents in infants and toddlers with food refusal and in school aged children with chronic abdominal pain and vomiting </w:t>
      </w:r>
    </w:p>
    <w:p w:rsidR="0036129F" w:rsidRDefault="0036129F" w:rsidP="0036129F">
      <w:pPr>
        <w:pStyle w:val="ListParagraph"/>
        <w:numPr>
          <w:ilvl w:val="0"/>
          <w:numId w:val="6"/>
        </w:numPr>
        <w:rPr>
          <w:rFonts w:ascii="Calibri" w:hAnsi="Calibri"/>
          <w:sz w:val="22"/>
          <w:szCs w:val="22"/>
        </w:rPr>
      </w:pPr>
      <w:r>
        <w:rPr>
          <w:rFonts w:ascii="Calibri" w:hAnsi="Calibri"/>
          <w:sz w:val="22"/>
          <w:szCs w:val="22"/>
        </w:rPr>
        <w:t>The prevalence of stricture in children with Eosinophilic esophagitis is 5%</w:t>
      </w:r>
    </w:p>
    <w:p w:rsidR="0036129F" w:rsidRDefault="0036129F" w:rsidP="0036129F">
      <w:pPr>
        <w:pBdr>
          <w:bottom w:val="single" w:sz="6" w:space="1" w:color="auto"/>
        </w:pBdr>
        <w:rPr>
          <w:rFonts w:ascii="Calibri" w:hAnsi="Calibri"/>
          <w:sz w:val="22"/>
          <w:szCs w:val="22"/>
        </w:rPr>
      </w:pPr>
    </w:p>
    <w:p w:rsidR="00B060CF" w:rsidRDefault="00B060CF" w:rsidP="0036129F">
      <w:pPr>
        <w:rPr>
          <w:rFonts w:ascii="Calibri" w:hAnsi="Calibri"/>
          <w:sz w:val="22"/>
          <w:szCs w:val="22"/>
        </w:rPr>
      </w:pPr>
    </w:p>
    <w:p w:rsidR="0036129F" w:rsidRDefault="0036129F" w:rsidP="0036129F">
      <w:pPr>
        <w:pStyle w:val="ListParagraph"/>
        <w:numPr>
          <w:ilvl w:val="0"/>
          <w:numId w:val="1"/>
        </w:numPr>
        <w:rPr>
          <w:rFonts w:ascii="Calibri" w:hAnsi="Calibri"/>
          <w:sz w:val="22"/>
          <w:szCs w:val="22"/>
        </w:rPr>
      </w:pPr>
      <w:r w:rsidRPr="00721701">
        <w:rPr>
          <w:rFonts w:ascii="Calibri" w:hAnsi="Calibri"/>
          <w:sz w:val="22"/>
          <w:szCs w:val="22"/>
        </w:rPr>
        <w:t>A 14-year-old adolescent is brought to your office for fatigue and decreased appetite that she has experienced over the past month. She has associated nausea but no vomiting, diarrhea, or fever. Her medical history is significant for autoimmune hypothyroidism since age 8 years, for which she takes levothyroxine daily. Physical examination reveals a temperature of 37°C, heart rate of 120 beats/min, blood pressure of 90/48 mm Hg, respiratory rate of 16 breaths/min, weight of 44.6 kg (25th percentile), height of 165 cm (75th percentile), and body mass index of 16.4 kg/m2 (10th percentile). She appears tired, with diffusely hyperpigmented skin. Capillary refill time is 3 seconds. The remainder of her physical examination findings are unremarkable.</w:t>
      </w:r>
    </w:p>
    <w:p w:rsidR="0036129F" w:rsidRDefault="0036129F" w:rsidP="0036129F">
      <w:pPr>
        <w:rPr>
          <w:rFonts w:ascii="Calibri" w:hAnsi="Calibri"/>
          <w:sz w:val="22"/>
          <w:szCs w:val="22"/>
        </w:rPr>
      </w:pPr>
    </w:p>
    <w:p w:rsidR="0036129F" w:rsidRPr="00721701" w:rsidRDefault="0036129F" w:rsidP="0036129F">
      <w:pPr>
        <w:ind w:left="720"/>
        <w:rPr>
          <w:rFonts w:ascii="Calibri" w:hAnsi="Calibri"/>
          <w:sz w:val="22"/>
          <w:szCs w:val="22"/>
        </w:rPr>
      </w:pPr>
      <w:r w:rsidRPr="00721701">
        <w:rPr>
          <w:rFonts w:ascii="Calibri" w:hAnsi="Calibri"/>
          <w:sz w:val="22"/>
          <w:szCs w:val="22"/>
        </w:rPr>
        <w:t>Of the following, this girl’s MOST likely diagnosis is</w:t>
      </w:r>
    </w:p>
    <w:p w:rsidR="0036129F" w:rsidRPr="00721701" w:rsidRDefault="0036129F" w:rsidP="0036129F">
      <w:pPr>
        <w:ind w:left="720"/>
        <w:rPr>
          <w:rFonts w:ascii="Calibri" w:hAnsi="Calibri"/>
          <w:sz w:val="22"/>
          <w:szCs w:val="22"/>
        </w:rPr>
      </w:pPr>
    </w:p>
    <w:p w:rsidR="0036129F" w:rsidRPr="00721701" w:rsidRDefault="0036129F" w:rsidP="0036129F">
      <w:pPr>
        <w:ind w:left="720"/>
        <w:rPr>
          <w:rFonts w:ascii="Calibri" w:hAnsi="Calibri"/>
          <w:sz w:val="22"/>
          <w:szCs w:val="22"/>
        </w:rPr>
      </w:pPr>
      <w:r w:rsidRPr="00721701">
        <w:rPr>
          <w:rFonts w:ascii="Calibri" w:hAnsi="Calibri"/>
          <w:sz w:val="22"/>
          <w:szCs w:val="22"/>
        </w:rPr>
        <w:tab/>
        <w:t>A.</w:t>
      </w:r>
      <w:r w:rsidRPr="00721701">
        <w:rPr>
          <w:rFonts w:ascii="Calibri" w:hAnsi="Calibri"/>
          <w:sz w:val="22"/>
          <w:szCs w:val="22"/>
        </w:rPr>
        <w:tab/>
        <w:t>adrenal insufficiency</w:t>
      </w:r>
    </w:p>
    <w:p w:rsidR="0036129F" w:rsidRPr="00721701" w:rsidRDefault="0036129F" w:rsidP="0036129F">
      <w:pPr>
        <w:ind w:left="720"/>
        <w:rPr>
          <w:rFonts w:ascii="Calibri" w:hAnsi="Calibri"/>
          <w:sz w:val="22"/>
          <w:szCs w:val="22"/>
        </w:rPr>
      </w:pPr>
      <w:r w:rsidRPr="00721701">
        <w:rPr>
          <w:rFonts w:ascii="Calibri" w:hAnsi="Calibri"/>
          <w:sz w:val="22"/>
          <w:szCs w:val="22"/>
        </w:rPr>
        <w:tab/>
        <w:t>B.</w:t>
      </w:r>
      <w:r w:rsidRPr="00721701">
        <w:rPr>
          <w:rFonts w:ascii="Calibri" w:hAnsi="Calibri"/>
          <w:sz w:val="22"/>
          <w:szCs w:val="22"/>
        </w:rPr>
        <w:tab/>
        <w:t>anemia</w:t>
      </w:r>
    </w:p>
    <w:p w:rsidR="0036129F" w:rsidRPr="00721701" w:rsidRDefault="0036129F" w:rsidP="0036129F">
      <w:pPr>
        <w:ind w:left="720"/>
        <w:rPr>
          <w:rFonts w:ascii="Calibri" w:hAnsi="Calibri"/>
          <w:sz w:val="22"/>
          <w:szCs w:val="22"/>
        </w:rPr>
      </w:pPr>
      <w:r w:rsidRPr="00721701">
        <w:rPr>
          <w:rFonts w:ascii="Calibri" w:hAnsi="Calibri"/>
          <w:sz w:val="22"/>
          <w:szCs w:val="22"/>
        </w:rPr>
        <w:tab/>
        <w:t>C.</w:t>
      </w:r>
      <w:r w:rsidRPr="00721701">
        <w:rPr>
          <w:rFonts w:ascii="Calibri" w:hAnsi="Calibri"/>
          <w:sz w:val="22"/>
          <w:szCs w:val="22"/>
        </w:rPr>
        <w:tab/>
        <w:t>anorexia nervosa</w:t>
      </w:r>
    </w:p>
    <w:p w:rsidR="0036129F" w:rsidRPr="00721701" w:rsidRDefault="0036129F" w:rsidP="0036129F">
      <w:pPr>
        <w:ind w:left="720"/>
        <w:rPr>
          <w:rFonts w:ascii="Calibri" w:hAnsi="Calibri"/>
          <w:sz w:val="22"/>
          <w:szCs w:val="22"/>
        </w:rPr>
      </w:pPr>
      <w:r w:rsidRPr="00721701">
        <w:rPr>
          <w:rFonts w:ascii="Calibri" w:hAnsi="Calibri"/>
          <w:sz w:val="22"/>
          <w:szCs w:val="22"/>
        </w:rPr>
        <w:tab/>
        <w:t>D.</w:t>
      </w:r>
      <w:r w:rsidRPr="00721701">
        <w:rPr>
          <w:rFonts w:ascii="Calibri" w:hAnsi="Calibri"/>
          <w:sz w:val="22"/>
          <w:szCs w:val="22"/>
        </w:rPr>
        <w:tab/>
        <w:t>gastroparesis</w:t>
      </w:r>
    </w:p>
    <w:p w:rsidR="0036129F" w:rsidRDefault="0036129F" w:rsidP="0036129F">
      <w:pPr>
        <w:ind w:left="720"/>
        <w:rPr>
          <w:rFonts w:ascii="Calibri" w:hAnsi="Calibri"/>
          <w:sz w:val="22"/>
          <w:szCs w:val="22"/>
        </w:rPr>
      </w:pPr>
      <w:r w:rsidRPr="00721701">
        <w:rPr>
          <w:rFonts w:ascii="Calibri" w:hAnsi="Calibri"/>
          <w:sz w:val="22"/>
          <w:szCs w:val="22"/>
        </w:rPr>
        <w:tab/>
        <w:t>E.</w:t>
      </w:r>
      <w:r w:rsidRPr="00721701">
        <w:rPr>
          <w:rFonts w:ascii="Calibri" w:hAnsi="Calibri"/>
          <w:sz w:val="22"/>
          <w:szCs w:val="22"/>
        </w:rPr>
        <w:tab/>
        <w:t>uncontrolled hypothyroidism</w:t>
      </w:r>
    </w:p>
    <w:p w:rsidR="0036129F" w:rsidRDefault="0036129F" w:rsidP="0036129F">
      <w:pPr>
        <w:ind w:left="720"/>
        <w:rPr>
          <w:rFonts w:ascii="Calibri" w:hAnsi="Calibri"/>
          <w:sz w:val="22"/>
          <w:szCs w:val="22"/>
        </w:rPr>
      </w:pPr>
    </w:p>
    <w:p w:rsidR="0036129F" w:rsidRDefault="0036129F" w:rsidP="0036129F">
      <w:pPr>
        <w:ind w:left="720"/>
        <w:rPr>
          <w:rFonts w:ascii="Calibri" w:hAnsi="Calibri"/>
          <w:sz w:val="22"/>
          <w:szCs w:val="22"/>
        </w:rPr>
      </w:pPr>
    </w:p>
    <w:p w:rsidR="0036129F" w:rsidRDefault="0036129F" w:rsidP="0036129F">
      <w:pPr>
        <w:ind w:left="720"/>
        <w:rPr>
          <w:rFonts w:ascii="Calibri" w:hAnsi="Calibri"/>
          <w:sz w:val="22"/>
          <w:szCs w:val="22"/>
        </w:rPr>
      </w:pPr>
      <w:r>
        <w:rPr>
          <w:rFonts w:ascii="Calibri" w:hAnsi="Calibri"/>
          <w:sz w:val="22"/>
          <w:szCs w:val="22"/>
        </w:rPr>
        <w:t>Answer: A</w:t>
      </w:r>
    </w:p>
    <w:p w:rsidR="0036129F" w:rsidRDefault="0036129F" w:rsidP="0036129F">
      <w:pPr>
        <w:ind w:left="720"/>
        <w:rPr>
          <w:rFonts w:ascii="Calibri" w:hAnsi="Calibri"/>
          <w:sz w:val="22"/>
          <w:szCs w:val="22"/>
        </w:rPr>
      </w:pPr>
    </w:p>
    <w:p w:rsidR="0036129F" w:rsidRPr="00721701" w:rsidRDefault="0036129F" w:rsidP="0036129F">
      <w:pPr>
        <w:ind w:left="720"/>
        <w:rPr>
          <w:rFonts w:ascii="Calibri" w:hAnsi="Calibri"/>
          <w:sz w:val="22"/>
          <w:szCs w:val="22"/>
        </w:rPr>
      </w:pPr>
      <w:r w:rsidRPr="00721701">
        <w:rPr>
          <w:rFonts w:ascii="Calibri" w:hAnsi="Calibri"/>
          <w:sz w:val="22"/>
          <w:szCs w:val="22"/>
        </w:rPr>
        <w:t>The girl described in the vignette has Addison disease, primary adrenal insufficiency. In primary adrenal insufficiency, there is a deficiency of both glucocorticoid (cortisol) and mineralocorticoid (aldosterone). In response to low cortisol levels, adrenocorticotropic hormone (ACTH) levels are high. The girl’s diffuse hyperpigmentation is due to the high ACTH level. Her fatigue, decreased appetite, and nausea are all consistent with Addison disease. Weight loss can be another presenting symptom. Mineralocorticoid deficiency in Addison disease manifests clinically with dehydration, also exhibited by this girl. Her history of autoimmune hypothyroidism suggests an autoimmune etiology for her adrenal insufficiency.</w:t>
      </w:r>
    </w:p>
    <w:p w:rsidR="0036129F" w:rsidRPr="00721701" w:rsidRDefault="0036129F" w:rsidP="0036129F">
      <w:pPr>
        <w:ind w:left="720"/>
        <w:rPr>
          <w:rFonts w:ascii="Calibri" w:hAnsi="Calibri"/>
          <w:sz w:val="22"/>
          <w:szCs w:val="22"/>
        </w:rPr>
      </w:pPr>
    </w:p>
    <w:p w:rsidR="0036129F" w:rsidRPr="00721701" w:rsidRDefault="0036129F" w:rsidP="0036129F">
      <w:pPr>
        <w:ind w:left="720"/>
        <w:rPr>
          <w:rFonts w:ascii="Calibri" w:hAnsi="Calibri"/>
          <w:sz w:val="22"/>
          <w:szCs w:val="22"/>
        </w:rPr>
      </w:pPr>
      <w:r w:rsidRPr="00721701">
        <w:rPr>
          <w:rFonts w:ascii="Calibri" w:hAnsi="Calibri"/>
          <w:sz w:val="22"/>
          <w:szCs w:val="22"/>
        </w:rPr>
        <w:lastRenderedPageBreak/>
        <w:t xml:space="preserve">Laboratory findings consistent with primary adrenal insufficiency include hyponatremia, hyperkalemia, hypoglycemia, and metabolic acidosis. Serum cortisol concentration is </w:t>
      </w:r>
      <w:proofErr w:type="gramStart"/>
      <w:r w:rsidRPr="00721701">
        <w:rPr>
          <w:rFonts w:ascii="Calibri" w:hAnsi="Calibri"/>
          <w:sz w:val="22"/>
          <w:szCs w:val="22"/>
        </w:rPr>
        <w:t>low</w:t>
      </w:r>
      <w:proofErr w:type="gramEnd"/>
      <w:r w:rsidRPr="00721701">
        <w:rPr>
          <w:rFonts w:ascii="Calibri" w:hAnsi="Calibri"/>
          <w:sz w:val="22"/>
          <w:szCs w:val="22"/>
        </w:rPr>
        <w:t xml:space="preserve"> and ACTH is high. Eosinophilia may also be seen.</w:t>
      </w:r>
    </w:p>
    <w:p w:rsidR="0036129F" w:rsidRPr="00721701" w:rsidRDefault="0036129F" w:rsidP="0036129F">
      <w:pPr>
        <w:ind w:left="720"/>
        <w:rPr>
          <w:rFonts w:ascii="Calibri" w:hAnsi="Calibri"/>
          <w:sz w:val="22"/>
          <w:szCs w:val="22"/>
        </w:rPr>
      </w:pPr>
    </w:p>
    <w:p w:rsidR="0036129F" w:rsidRPr="00721701" w:rsidRDefault="0036129F" w:rsidP="0036129F">
      <w:pPr>
        <w:ind w:left="720"/>
        <w:rPr>
          <w:rFonts w:ascii="Calibri" w:hAnsi="Calibri"/>
          <w:sz w:val="22"/>
          <w:szCs w:val="22"/>
        </w:rPr>
      </w:pPr>
      <w:r w:rsidRPr="00721701">
        <w:rPr>
          <w:rFonts w:ascii="Calibri" w:hAnsi="Calibri"/>
          <w:sz w:val="22"/>
          <w:szCs w:val="22"/>
        </w:rPr>
        <w:t>Anemia, anorexia nervosa, gastroparesis, and uncontrolled hypothyroidism can each cause some, but not all, of the signs and symptoms described in the vignette.</w:t>
      </w:r>
    </w:p>
    <w:p w:rsidR="0036129F" w:rsidRPr="00721701" w:rsidRDefault="0036129F" w:rsidP="0036129F">
      <w:pPr>
        <w:ind w:left="720"/>
        <w:rPr>
          <w:rFonts w:ascii="Calibri" w:hAnsi="Calibri"/>
          <w:sz w:val="22"/>
          <w:szCs w:val="22"/>
        </w:rPr>
      </w:pPr>
    </w:p>
    <w:p w:rsidR="0036129F" w:rsidRPr="00721701" w:rsidRDefault="0036129F" w:rsidP="0036129F">
      <w:pPr>
        <w:ind w:left="720"/>
        <w:rPr>
          <w:rFonts w:ascii="Calibri" w:hAnsi="Calibri"/>
          <w:sz w:val="22"/>
          <w:szCs w:val="22"/>
        </w:rPr>
      </w:pPr>
      <w:r w:rsidRPr="00721701">
        <w:rPr>
          <w:rFonts w:ascii="Calibri" w:hAnsi="Calibri"/>
          <w:sz w:val="22"/>
          <w:szCs w:val="22"/>
        </w:rPr>
        <w:t>If adrenal insufficiency is suspected, a bedside blood glucose test should be performed, because of the high risk for hypoglycemia. Serum electrolyte, glucose, cortisol, and ACTH levels should be obtained.</w:t>
      </w:r>
    </w:p>
    <w:p w:rsidR="0036129F" w:rsidRPr="00721701" w:rsidRDefault="0036129F" w:rsidP="0036129F">
      <w:pPr>
        <w:ind w:left="720"/>
        <w:rPr>
          <w:rFonts w:ascii="Calibri" w:hAnsi="Calibri"/>
          <w:sz w:val="22"/>
          <w:szCs w:val="22"/>
        </w:rPr>
      </w:pPr>
    </w:p>
    <w:p w:rsidR="0036129F" w:rsidRPr="00721701" w:rsidRDefault="0036129F" w:rsidP="0036129F">
      <w:pPr>
        <w:ind w:left="720"/>
        <w:rPr>
          <w:rFonts w:ascii="Calibri" w:hAnsi="Calibri"/>
          <w:sz w:val="22"/>
          <w:szCs w:val="22"/>
        </w:rPr>
      </w:pPr>
      <w:r w:rsidRPr="00721701">
        <w:rPr>
          <w:rFonts w:ascii="Calibri" w:hAnsi="Calibri"/>
          <w:sz w:val="22"/>
          <w:szCs w:val="22"/>
        </w:rPr>
        <w:t>Children with Addison disease are at risk for adrenal crisis, which typically presents with vomiting, abdominal pain, and hypovolemic shock. The initial treatment of adrenal crisis consists of restoration of intravascular fluid volume and correction of hypoglycemia. A 5% dextrose-containing normal saline bolus of 20 mL/kg may be given intravenously if hypoglycemia is present. Subsequently, a stress dose of hydrocortisone, 100 mg/m2 of body surface area, should be given intravenously. Hydrocortisone should then be continued intravenously at 100 mg/m2 per day, either as a continuous infusion or divided every 6 hours, until the child’s clinical status is improved. High-dose hydrocortisone has both glucocorticoid and mineralocorticoid activity.</w:t>
      </w:r>
    </w:p>
    <w:p w:rsidR="0036129F" w:rsidRPr="00721701" w:rsidRDefault="0036129F" w:rsidP="0036129F">
      <w:pPr>
        <w:ind w:left="720"/>
        <w:rPr>
          <w:rFonts w:ascii="Calibri" w:hAnsi="Calibri"/>
          <w:sz w:val="22"/>
          <w:szCs w:val="22"/>
        </w:rPr>
      </w:pPr>
    </w:p>
    <w:p w:rsidR="0036129F" w:rsidRPr="00721701" w:rsidRDefault="0036129F" w:rsidP="0036129F">
      <w:pPr>
        <w:ind w:left="720"/>
        <w:rPr>
          <w:rFonts w:ascii="Calibri" w:hAnsi="Calibri"/>
          <w:sz w:val="22"/>
          <w:szCs w:val="22"/>
        </w:rPr>
      </w:pPr>
      <w:r w:rsidRPr="00721701">
        <w:rPr>
          <w:rFonts w:ascii="Calibri" w:hAnsi="Calibri"/>
          <w:sz w:val="22"/>
          <w:szCs w:val="22"/>
        </w:rPr>
        <w:t>Once the adrenal crisis is resolved, a child with Addison disease requires daily replacement doses of the glucocorticoid hydrocortisone (8–10 mg/m2 per day divided 2–3 times per day) and the mineralocorticoid fludrocortisone (0.1 mg once per day). Before discharge from the hospital, the child’s family should be taught how to administer an appropriate stress dose (double or triple the daily dose divided every 8 hours) of hydrocortisone in case of fever or other moderate stress event. Arrangements should be made to obtain a medical alert tag. The family should be given a prescription for an intramuscular injectable form of hydrocortisone to have at home for use in case of an adrenal crisis, as well as an emergency letter with instructions regarding stress dose steroids.</w:t>
      </w:r>
    </w:p>
    <w:p w:rsidR="0036129F" w:rsidRPr="00721701" w:rsidRDefault="0036129F" w:rsidP="0036129F">
      <w:pPr>
        <w:ind w:left="720"/>
        <w:rPr>
          <w:rFonts w:ascii="Calibri" w:hAnsi="Calibri"/>
          <w:sz w:val="22"/>
          <w:szCs w:val="22"/>
        </w:rPr>
      </w:pPr>
    </w:p>
    <w:p w:rsidR="0036129F" w:rsidRPr="00721701" w:rsidRDefault="0036129F" w:rsidP="0036129F">
      <w:pPr>
        <w:ind w:left="720"/>
        <w:rPr>
          <w:rFonts w:ascii="Calibri" w:hAnsi="Calibri"/>
          <w:b/>
          <w:bCs/>
          <w:sz w:val="22"/>
          <w:szCs w:val="22"/>
        </w:rPr>
      </w:pPr>
      <w:r w:rsidRPr="00721701">
        <w:rPr>
          <w:rFonts w:ascii="Calibri" w:hAnsi="Calibri"/>
          <w:b/>
          <w:bCs/>
          <w:sz w:val="22"/>
          <w:szCs w:val="22"/>
        </w:rPr>
        <w:t>PREP Pearls</w:t>
      </w:r>
    </w:p>
    <w:p w:rsidR="0036129F" w:rsidRDefault="0036129F" w:rsidP="0036129F">
      <w:pPr>
        <w:pStyle w:val="ListParagraph"/>
        <w:numPr>
          <w:ilvl w:val="0"/>
          <w:numId w:val="6"/>
        </w:numPr>
        <w:rPr>
          <w:rFonts w:ascii="Calibri" w:hAnsi="Calibri"/>
          <w:sz w:val="22"/>
          <w:szCs w:val="22"/>
        </w:rPr>
      </w:pPr>
      <w:r w:rsidRPr="00721701">
        <w:rPr>
          <w:rFonts w:ascii="Calibri" w:hAnsi="Calibri"/>
          <w:sz w:val="22"/>
          <w:szCs w:val="22"/>
        </w:rPr>
        <w:t>Fatigue, nausea, weight loss, hypotension, volume depletion, and diffuse hyperpigmentation are common presenting symptoms and signs of Addison disease.</w:t>
      </w:r>
    </w:p>
    <w:p w:rsidR="0036129F" w:rsidRDefault="0036129F" w:rsidP="0036129F">
      <w:pPr>
        <w:pStyle w:val="ListParagraph"/>
        <w:numPr>
          <w:ilvl w:val="0"/>
          <w:numId w:val="6"/>
        </w:numPr>
        <w:rPr>
          <w:rFonts w:ascii="Calibri" w:hAnsi="Calibri"/>
          <w:sz w:val="22"/>
          <w:szCs w:val="22"/>
        </w:rPr>
      </w:pPr>
      <w:r w:rsidRPr="00721701">
        <w:rPr>
          <w:rFonts w:ascii="Calibri" w:hAnsi="Calibri"/>
          <w:sz w:val="22"/>
          <w:szCs w:val="22"/>
        </w:rPr>
        <w:t>Laboratory findings of Addison disease include hyponatremia, hyperkalemia, hypoglycemia, metabolic acidosis, low serum cortisol, high adrenocorticotropic hormone level, and eosinophilia.</w:t>
      </w:r>
    </w:p>
    <w:p w:rsidR="0036129F" w:rsidRDefault="0036129F" w:rsidP="0036129F">
      <w:pPr>
        <w:pStyle w:val="ListParagraph"/>
        <w:numPr>
          <w:ilvl w:val="0"/>
          <w:numId w:val="6"/>
        </w:numPr>
        <w:rPr>
          <w:rFonts w:ascii="Calibri" w:hAnsi="Calibri"/>
          <w:sz w:val="22"/>
          <w:szCs w:val="22"/>
        </w:rPr>
      </w:pPr>
      <w:r w:rsidRPr="00721701">
        <w:rPr>
          <w:rFonts w:ascii="Calibri" w:hAnsi="Calibri"/>
          <w:sz w:val="22"/>
          <w:szCs w:val="22"/>
        </w:rPr>
        <w:t>Treatment of an adrenal crisis consists of urgent restoration of intravascular fluid volume and correction of hypoglycemia, followed by intravenous administration of stress dose hydrocortisone.</w:t>
      </w:r>
    </w:p>
    <w:p w:rsidR="0036129F" w:rsidRDefault="0036129F" w:rsidP="0036129F">
      <w:pPr>
        <w:pStyle w:val="ListParagraph"/>
        <w:numPr>
          <w:ilvl w:val="0"/>
          <w:numId w:val="6"/>
        </w:numPr>
        <w:pBdr>
          <w:bottom w:val="single" w:sz="6" w:space="1" w:color="auto"/>
        </w:pBdr>
        <w:rPr>
          <w:rFonts w:ascii="Calibri" w:hAnsi="Calibri"/>
          <w:sz w:val="22"/>
          <w:szCs w:val="22"/>
        </w:rPr>
      </w:pPr>
      <w:r w:rsidRPr="00721701">
        <w:rPr>
          <w:rFonts w:ascii="Calibri" w:hAnsi="Calibri"/>
          <w:sz w:val="22"/>
          <w:szCs w:val="22"/>
        </w:rPr>
        <w:t xml:space="preserve">Long-term treatment of Addison disease consists of replacement of both glucocorticoid and mineralocorticoid deficiencies with hydrocortisone and fludrocortisone. </w:t>
      </w:r>
    </w:p>
    <w:p w:rsidR="00B060CF" w:rsidRDefault="00B060CF" w:rsidP="0036129F">
      <w:pPr>
        <w:rPr>
          <w:rFonts w:ascii="Calibri" w:hAnsi="Calibri"/>
          <w:sz w:val="22"/>
          <w:szCs w:val="22"/>
        </w:rPr>
      </w:pPr>
    </w:p>
    <w:p w:rsidR="0036129F" w:rsidRPr="00721701" w:rsidRDefault="0036129F" w:rsidP="0036129F">
      <w:pPr>
        <w:pStyle w:val="ListParagraph"/>
        <w:numPr>
          <w:ilvl w:val="0"/>
          <w:numId w:val="1"/>
        </w:numPr>
        <w:rPr>
          <w:rFonts w:ascii="Calibri" w:hAnsi="Calibri"/>
          <w:sz w:val="22"/>
          <w:szCs w:val="22"/>
        </w:rPr>
      </w:pPr>
      <w:r w:rsidRPr="00721701">
        <w:rPr>
          <w:rFonts w:ascii="Calibri" w:hAnsi="Calibri"/>
          <w:sz w:val="22"/>
          <w:szCs w:val="22"/>
        </w:rPr>
        <w:t>A 6-year-old boy with autism has been hospitalized for apparent leg pain, weakness, and refusal to walk. His diet consists exclusively of “white foods,” notably mashed potatoes, chicken nuggets, and plain macaroni. Water is his only beverage.</w:t>
      </w:r>
    </w:p>
    <w:p w:rsidR="0036129F" w:rsidRPr="00721701" w:rsidRDefault="0036129F" w:rsidP="0036129F">
      <w:pPr>
        <w:pStyle w:val="ListParagraph"/>
        <w:rPr>
          <w:rFonts w:ascii="Calibri" w:hAnsi="Calibri"/>
          <w:sz w:val="22"/>
          <w:szCs w:val="22"/>
        </w:rPr>
      </w:pPr>
    </w:p>
    <w:p w:rsidR="0036129F" w:rsidRDefault="0036129F" w:rsidP="0036129F">
      <w:pPr>
        <w:pStyle w:val="ListParagraph"/>
        <w:rPr>
          <w:rFonts w:ascii="Calibri" w:hAnsi="Calibri"/>
          <w:sz w:val="22"/>
          <w:szCs w:val="22"/>
        </w:rPr>
      </w:pPr>
      <w:r w:rsidRPr="00721701">
        <w:rPr>
          <w:rFonts w:ascii="Calibri" w:hAnsi="Calibri"/>
          <w:sz w:val="22"/>
          <w:szCs w:val="22"/>
        </w:rPr>
        <w:t xml:space="preserve">His physical examination shows an afebrile nonverbal child with diffuse extremity tenderness, without swelling or deformity. He has inflamed gums with mild bleeding, several bruises on his </w:t>
      </w:r>
      <w:r w:rsidRPr="00721701">
        <w:rPr>
          <w:rFonts w:ascii="Calibri" w:hAnsi="Calibri"/>
          <w:sz w:val="22"/>
          <w:szCs w:val="22"/>
        </w:rPr>
        <w:lastRenderedPageBreak/>
        <w:t>legs, and a hemorrhagic follicular rash on his buttocks. The remainder of his examination findings are within normal parameters. Laboratory findings include normal prothrombin and partial thromboplastin times; a mild microcytic anemia but an otherwise normal complete blood count; normal liver and renal functions; and normal alkaline phosphatase, calcium, and phosphorus levels. Radiography shows osteopenia and a distal femur metaphyseal fracture.</w:t>
      </w:r>
    </w:p>
    <w:p w:rsidR="0036129F" w:rsidRDefault="0036129F" w:rsidP="0036129F">
      <w:pPr>
        <w:pStyle w:val="ListParagraph"/>
        <w:rPr>
          <w:rFonts w:ascii="Calibri" w:hAnsi="Calibri"/>
          <w:sz w:val="22"/>
          <w:szCs w:val="22"/>
        </w:rPr>
      </w:pPr>
    </w:p>
    <w:p w:rsidR="0036129F" w:rsidRPr="00721701" w:rsidRDefault="0036129F" w:rsidP="0036129F">
      <w:pPr>
        <w:pStyle w:val="ListParagraph"/>
        <w:rPr>
          <w:rFonts w:ascii="Calibri" w:hAnsi="Calibri"/>
          <w:sz w:val="22"/>
          <w:szCs w:val="22"/>
        </w:rPr>
      </w:pPr>
      <w:r w:rsidRPr="00721701">
        <w:rPr>
          <w:rFonts w:ascii="Calibri" w:hAnsi="Calibri"/>
          <w:sz w:val="22"/>
          <w:szCs w:val="22"/>
        </w:rPr>
        <w:t xml:space="preserve">Of the following, the laboratory test MOST likely to help determine the cause of this child’s symptoms is </w:t>
      </w:r>
    </w:p>
    <w:p w:rsidR="0036129F" w:rsidRPr="00721701" w:rsidRDefault="0036129F" w:rsidP="0036129F">
      <w:pPr>
        <w:pStyle w:val="ListParagraph"/>
        <w:rPr>
          <w:rFonts w:ascii="Calibri" w:hAnsi="Calibri"/>
          <w:sz w:val="22"/>
          <w:szCs w:val="22"/>
        </w:rPr>
      </w:pPr>
    </w:p>
    <w:p w:rsidR="0036129F" w:rsidRPr="00721701" w:rsidRDefault="0036129F" w:rsidP="0036129F">
      <w:pPr>
        <w:pStyle w:val="ListParagraph"/>
        <w:ind w:firstLine="720"/>
        <w:rPr>
          <w:rFonts w:ascii="Calibri" w:hAnsi="Calibri"/>
          <w:sz w:val="22"/>
          <w:szCs w:val="22"/>
        </w:rPr>
      </w:pPr>
      <w:r w:rsidRPr="00721701">
        <w:rPr>
          <w:rFonts w:ascii="Calibri" w:hAnsi="Calibri"/>
          <w:sz w:val="22"/>
          <w:szCs w:val="22"/>
        </w:rPr>
        <w:t>A.</w:t>
      </w:r>
      <w:r w:rsidRPr="00721701">
        <w:rPr>
          <w:rFonts w:ascii="Calibri" w:hAnsi="Calibri"/>
          <w:sz w:val="22"/>
          <w:szCs w:val="22"/>
        </w:rPr>
        <w:tab/>
        <w:t>1,25 dihydroxy-vitamin D level</w:t>
      </w:r>
    </w:p>
    <w:p w:rsidR="0036129F" w:rsidRPr="00721701" w:rsidRDefault="0036129F" w:rsidP="0036129F">
      <w:pPr>
        <w:pStyle w:val="ListParagraph"/>
        <w:rPr>
          <w:rFonts w:ascii="Calibri" w:hAnsi="Calibri"/>
          <w:sz w:val="22"/>
          <w:szCs w:val="22"/>
        </w:rPr>
      </w:pPr>
      <w:r w:rsidRPr="00721701">
        <w:rPr>
          <w:rFonts w:ascii="Calibri" w:hAnsi="Calibri"/>
          <w:sz w:val="22"/>
          <w:szCs w:val="22"/>
        </w:rPr>
        <w:tab/>
        <w:t>B.</w:t>
      </w:r>
      <w:r w:rsidRPr="00721701">
        <w:rPr>
          <w:rFonts w:ascii="Calibri" w:hAnsi="Calibri"/>
          <w:sz w:val="22"/>
          <w:szCs w:val="22"/>
        </w:rPr>
        <w:tab/>
        <w:t>antinuclear antibody and rheumatoid factor</w:t>
      </w:r>
    </w:p>
    <w:p w:rsidR="0036129F" w:rsidRPr="00721701" w:rsidRDefault="0036129F" w:rsidP="0036129F">
      <w:pPr>
        <w:pStyle w:val="ListParagraph"/>
        <w:rPr>
          <w:rFonts w:ascii="Calibri" w:hAnsi="Calibri"/>
          <w:sz w:val="22"/>
          <w:szCs w:val="22"/>
        </w:rPr>
      </w:pPr>
      <w:r w:rsidRPr="00721701">
        <w:rPr>
          <w:rFonts w:ascii="Calibri" w:hAnsi="Calibri"/>
          <w:sz w:val="22"/>
          <w:szCs w:val="22"/>
        </w:rPr>
        <w:tab/>
        <w:t>C.</w:t>
      </w:r>
      <w:r w:rsidRPr="00721701">
        <w:rPr>
          <w:rFonts w:ascii="Calibri" w:hAnsi="Calibri"/>
          <w:sz w:val="22"/>
          <w:szCs w:val="22"/>
        </w:rPr>
        <w:tab/>
        <w:t>creatine kinase level</w:t>
      </w:r>
    </w:p>
    <w:p w:rsidR="0036129F" w:rsidRPr="00721701" w:rsidRDefault="0036129F" w:rsidP="0036129F">
      <w:pPr>
        <w:pStyle w:val="ListParagraph"/>
        <w:rPr>
          <w:rFonts w:ascii="Calibri" w:hAnsi="Calibri"/>
          <w:sz w:val="22"/>
          <w:szCs w:val="22"/>
        </w:rPr>
      </w:pPr>
      <w:r w:rsidRPr="00721701">
        <w:rPr>
          <w:rFonts w:ascii="Calibri" w:hAnsi="Calibri"/>
          <w:sz w:val="22"/>
          <w:szCs w:val="22"/>
        </w:rPr>
        <w:tab/>
        <w:t>D.</w:t>
      </w:r>
      <w:r w:rsidRPr="00721701">
        <w:rPr>
          <w:rFonts w:ascii="Calibri" w:hAnsi="Calibri"/>
          <w:sz w:val="22"/>
          <w:szCs w:val="22"/>
        </w:rPr>
        <w:tab/>
        <w:t>leukocyte ascorbic acid concentration</w:t>
      </w:r>
    </w:p>
    <w:p w:rsidR="0036129F" w:rsidRPr="00721701" w:rsidRDefault="0036129F" w:rsidP="0036129F">
      <w:pPr>
        <w:pStyle w:val="ListParagraph"/>
        <w:rPr>
          <w:rFonts w:ascii="Calibri" w:hAnsi="Calibri"/>
          <w:sz w:val="22"/>
          <w:szCs w:val="22"/>
        </w:rPr>
      </w:pPr>
      <w:r w:rsidRPr="00721701">
        <w:rPr>
          <w:rFonts w:ascii="Calibri" w:hAnsi="Calibri"/>
          <w:sz w:val="22"/>
          <w:szCs w:val="22"/>
        </w:rPr>
        <w:tab/>
        <w:t>E.</w:t>
      </w:r>
      <w:r w:rsidRPr="00721701">
        <w:rPr>
          <w:rFonts w:ascii="Calibri" w:hAnsi="Calibri"/>
          <w:sz w:val="22"/>
          <w:szCs w:val="22"/>
        </w:rPr>
        <w:tab/>
        <w:t>nasopharyngeal viral cultures</w:t>
      </w:r>
    </w:p>
    <w:p w:rsidR="0036129F" w:rsidRDefault="0036129F" w:rsidP="0036129F">
      <w:pPr>
        <w:rPr>
          <w:rFonts w:ascii="Calibri" w:hAnsi="Calibri"/>
          <w:sz w:val="22"/>
          <w:szCs w:val="22"/>
        </w:rPr>
      </w:pPr>
    </w:p>
    <w:p w:rsidR="0036129F" w:rsidRDefault="0036129F" w:rsidP="0036129F">
      <w:pPr>
        <w:rPr>
          <w:rFonts w:ascii="Calibri" w:hAnsi="Calibri"/>
          <w:sz w:val="22"/>
          <w:szCs w:val="22"/>
        </w:rPr>
      </w:pPr>
    </w:p>
    <w:p w:rsidR="0036129F" w:rsidRDefault="0036129F" w:rsidP="0036129F">
      <w:pPr>
        <w:rPr>
          <w:rFonts w:ascii="Calibri" w:hAnsi="Calibri"/>
          <w:sz w:val="22"/>
          <w:szCs w:val="22"/>
        </w:rPr>
      </w:pPr>
      <w:r>
        <w:rPr>
          <w:rFonts w:ascii="Calibri" w:hAnsi="Calibri"/>
          <w:sz w:val="22"/>
          <w:szCs w:val="22"/>
        </w:rPr>
        <w:t xml:space="preserve">Answer: D </w:t>
      </w:r>
    </w:p>
    <w:p w:rsidR="0036129F" w:rsidRDefault="0036129F" w:rsidP="0036129F">
      <w:pPr>
        <w:rPr>
          <w:rFonts w:ascii="Calibri" w:hAnsi="Calibri"/>
          <w:sz w:val="22"/>
          <w:szCs w:val="22"/>
        </w:rPr>
      </w:pPr>
    </w:p>
    <w:p w:rsidR="0036129F" w:rsidRPr="00721701" w:rsidRDefault="0036129F" w:rsidP="0036129F">
      <w:pPr>
        <w:rPr>
          <w:rFonts w:ascii="Calibri" w:hAnsi="Calibri"/>
          <w:sz w:val="22"/>
          <w:szCs w:val="22"/>
        </w:rPr>
      </w:pPr>
      <w:r w:rsidRPr="00721701">
        <w:rPr>
          <w:rFonts w:ascii="Calibri" w:hAnsi="Calibri"/>
          <w:sz w:val="22"/>
          <w:szCs w:val="22"/>
        </w:rPr>
        <w:t xml:space="preserve">The child in the vignette has signs and symptoms characteristic of vitamin C deficiency, including bone pain, inflamed gums, perifollicular hemorrhage, and osteopenia. The most appropriate test to assess the boy’s body stores of vitamin C is a leukocyte ascorbic acid level; a serum ascorbic acid level would assess recent intake rather than stores, and so is less useful. Once the diagnosis is confirmed, treatment consists of 100 mg of ascorbic acid (orally, intramuscularly, or intravenously) 3 times per day for 1 week, followed by 100 mg daily for several weeks until symptoms </w:t>
      </w:r>
      <w:proofErr w:type="gramStart"/>
      <w:r w:rsidRPr="00721701">
        <w:rPr>
          <w:rFonts w:ascii="Calibri" w:hAnsi="Calibri"/>
          <w:sz w:val="22"/>
          <w:szCs w:val="22"/>
        </w:rPr>
        <w:t>resolve</w:t>
      </w:r>
      <w:proofErr w:type="gramEnd"/>
      <w:r w:rsidRPr="00721701">
        <w:rPr>
          <w:rFonts w:ascii="Calibri" w:hAnsi="Calibri"/>
          <w:sz w:val="22"/>
          <w:szCs w:val="22"/>
        </w:rPr>
        <w:t xml:space="preserve"> and body stores are </w:t>
      </w:r>
      <w:proofErr w:type="spellStart"/>
      <w:r w:rsidRPr="00721701">
        <w:rPr>
          <w:rFonts w:ascii="Calibri" w:hAnsi="Calibri"/>
          <w:sz w:val="22"/>
          <w:szCs w:val="22"/>
        </w:rPr>
        <w:t>repleted</w:t>
      </w:r>
      <w:proofErr w:type="spellEnd"/>
      <w:r w:rsidRPr="00721701">
        <w:rPr>
          <w:rFonts w:ascii="Calibri" w:hAnsi="Calibri"/>
          <w:sz w:val="22"/>
          <w:szCs w:val="22"/>
        </w:rPr>
        <w:t>.</w:t>
      </w:r>
    </w:p>
    <w:p w:rsidR="0036129F" w:rsidRPr="00721701" w:rsidRDefault="0036129F" w:rsidP="0036129F">
      <w:pPr>
        <w:rPr>
          <w:rFonts w:ascii="Calibri" w:hAnsi="Calibri"/>
          <w:sz w:val="22"/>
          <w:szCs w:val="22"/>
        </w:rPr>
      </w:pPr>
    </w:p>
    <w:p w:rsidR="0036129F" w:rsidRPr="00721701" w:rsidRDefault="0036129F" w:rsidP="0036129F">
      <w:pPr>
        <w:rPr>
          <w:rFonts w:ascii="Calibri" w:hAnsi="Calibri"/>
          <w:sz w:val="22"/>
          <w:szCs w:val="22"/>
        </w:rPr>
      </w:pPr>
      <w:r w:rsidRPr="00721701">
        <w:rPr>
          <w:rFonts w:ascii="Calibri" w:hAnsi="Calibri"/>
          <w:sz w:val="22"/>
          <w:szCs w:val="22"/>
        </w:rPr>
        <w:t xml:space="preserve">Hypovitaminosis C is rarely seen in developed countries today, though patients with severely restricted diets remain at risk. It has been seen most often in children with neurologic or neurobehavioral conditions such as cerebral palsy and autism. Adolescents with eating disorders, children undergoing dialysis (which removes vitamin C), children with inflammatory bowel disease, and patients receiving </w:t>
      </w:r>
      <w:proofErr w:type="spellStart"/>
      <w:r w:rsidRPr="00721701">
        <w:rPr>
          <w:rFonts w:ascii="Calibri" w:hAnsi="Calibri"/>
          <w:sz w:val="22"/>
          <w:szCs w:val="22"/>
        </w:rPr>
        <w:t>unsupplemented</w:t>
      </w:r>
      <w:proofErr w:type="spellEnd"/>
      <w:r w:rsidRPr="00721701">
        <w:rPr>
          <w:rFonts w:ascii="Calibri" w:hAnsi="Calibri"/>
          <w:sz w:val="22"/>
          <w:szCs w:val="22"/>
        </w:rPr>
        <w:t xml:space="preserve"> parenteral nutrition are also at risk. Vitamin C is involved in collagen synthesis, bone formation, iron absorption, folate metabolism, and neurotransmitter synthesis, among other functions. Affected children often present initially with fatigue and lethargy, but then develop corkscrew hairs and perifollicular keratosis that progresses to perifollicular hemorrhage. Other dermatologic findings include petechiae and ecchymoses. Affected children may also develop diarrhea, ocular hemorrhages, as well as anemia due to poor iron absorption, bleeding, and other nutritional deficiencies. Gum involvement, with inflammation and hemorrhage is a classic finding (Item C216A). Children are particularly vulnerable to scurvy, which includes bone pain, subperiosteal hemorrhage, joint hemorrhage, arthropathy, and disordered bone matrix development. </w:t>
      </w:r>
      <w:proofErr w:type="spellStart"/>
      <w:r w:rsidRPr="00721701">
        <w:rPr>
          <w:rFonts w:ascii="Calibri" w:hAnsi="Calibri"/>
          <w:sz w:val="22"/>
          <w:szCs w:val="22"/>
        </w:rPr>
        <w:t>Wimberger</w:t>
      </w:r>
      <w:proofErr w:type="spellEnd"/>
      <w:r w:rsidRPr="00721701">
        <w:rPr>
          <w:rFonts w:ascii="Calibri" w:hAnsi="Calibri"/>
          <w:sz w:val="22"/>
          <w:szCs w:val="22"/>
        </w:rPr>
        <w:t xml:space="preserve"> and Frankel lines, white lines around the metaphysis and epiphysis, respectively, are rarely seen today but are specific to scurvy (Item C216B).</w:t>
      </w:r>
    </w:p>
    <w:p w:rsidR="0036129F" w:rsidRPr="00721701" w:rsidRDefault="0036129F" w:rsidP="0036129F">
      <w:pPr>
        <w:rPr>
          <w:rFonts w:ascii="Calibri" w:hAnsi="Calibri"/>
          <w:sz w:val="22"/>
          <w:szCs w:val="22"/>
        </w:rPr>
      </w:pPr>
    </w:p>
    <w:p w:rsidR="0036129F" w:rsidRPr="00721701" w:rsidRDefault="0036129F" w:rsidP="0036129F">
      <w:pPr>
        <w:rPr>
          <w:rFonts w:ascii="Calibri" w:hAnsi="Calibri"/>
          <w:sz w:val="22"/>
          <w:szCs w:val="22"/>
        </w:rPr>
      </w:pPr>
      <w:r w:rsidRPr="00721701">
        <w:rPr>
          <w:rFonts w:ascii="Calibri" w:hAnsi="Calibri"/>
          <w:sz w:val="22"/>
          <w:szCs w:val="22"/>
        </w:rPr>
        <w:t xml:space="preserve">Hypovitaminosis C may coexist with other nutritional deficiencies, thus affected patients require a thorough nutritional evaluation. In the 19th century, scurvy in infants was felt to be an acute form of rickets and only later was recognized as a separate entity. Both conditions involve bone development, and it is reasonable to consider vitamin D deficiency in such patients. However, the child in the vignette has a normal alkaline phosphatase, calcium, and phosphorus, as well as physical examination findings such as gum inflammation that are characteristic of vitamin C deficiency. </w:t>
      </w:r>
      <w:proofErr w:type="gramStart"/>
      <w:r w:rsidRPr="00721701">
        <w:rPr>
          <w:rFonts w:ascii="Calibri" w:hAnsi="Calibri"/>
          <w:sz w:val="22"/>
          <w:szCs w:val="22"/>
        </w:rPr>
        <w:t>Therefore</w:t>
      </w:r>
      <w:proofErr w:type="gramEnd"/>
      <w:r w:rsidRPr="00721701">
        <w:rPr>
          <w:rFonts w:ascii="Calibri" w:hAnsi="Calibri"/>
          <w:sz w:val="22"/>
          <w:szCs w:val="22"/>
        </w:rPr>
        <w:t xml:space="preserve"> a vitamin D level is not likely to provide an explanation for this child’s symptoms. In addition, the most appropriate test to assess vitamin D deficiency is a 25-hydroxyvitamin D level. Given the characteristic symptoms of vitamin </w:t>
      </w:r>
      <w:r w:rsidRPr="00721701">
        <w:rPr>
          <w:rFonts w:ascii="Calibri" w:hAnsi="Calibri"/>
          <w:sz w:val="22"/>
          <w:szCs w:val="22"/>
        </w:rPr>
        <w:lastRenderedPageBreak/>
        <w:t>C deficiency and the concerning nutritional history, as well as the normal inflammatory markers, rheumatologic studies such as antinuclear antibody and rheumatoid factor are also unlikely to be helpful. Viral infections can cause oral inflammation, myalgias, arthralgias, weakness, and lethargy, but the chronicity of symptoms, the patient’s diet history, and the classic findings of scurvy make viral infection less likely as the primary cause of this patient’s symptoms. Creatine kinase levels may be elevated with muscle damage but would not be diagnostic for the symptoms seen in the child in the vignette.</w:t>
      </w:r>
    </w:p>
    <w:p w:rsidR="0036129F" w:rsidRPr="00721701" w:rsidRDefault="0036129F" w:rsidP="0036129F">
      <w:pPr>
        <w:rPr>
          <w:rFonts w:ascii="Calibri" w:hAnsi="Calibri"/>
          <w:sz w:val="22"/>
          <w:szCs w:val="22"/>
        </w:rPr>
      </w:pPr>
    </w:p>
    <w:p w:rsidR="0036129F" w:rsidRPr="00721701" w:rsidRDefault="0036129F" w:rsidP="0036129F">
      <w:pPr>
        <w:rPr>
          <w:rFonts w:ascii="Calibri" w:hAnsi="Calibri"/>
          <w:sz w:val="22"/>
          <w:szCs w:val="22"/>
        </w:rPr>
      </w:pPr>
      <w:r w:rsidRPr="00721701">
        <w:rPr>
          <w:rFonts w:ascii="Calibri" w:hAnsi="Calibri"/>
          <w:sz w:val="22"/>
          <w:szCs w:val="22"/>
        </w:rPr>
        <w:t>PREP Pearls</w:t>
      </w:r>
    </w:p>
    <w:p w:rsidR="0036129F" w:rsidRPr="00721701" w:rsidRDefault="0036129F" w:rsidP="0036129F">
      <w:pPr>
        <w:pStyle w:val="ListParagraph"/>
        <w:numPr>
          <w:ilvl w:val="0"/>
          <w:numId w:val="6"/>
        </w:numPr>
        <w:rPr>
          <w:rFonts w:ascii="Calibri" w:hAnsi="Calibri"/>
          <w:sz w:val="22"/>
          <w:szCs w:val="22"/>
        </w:rPr>
      </w:pPr>
      <w:r w:rsidRPr="00721701">
        <w:rPr>
          <w:rFonts w:ascii="Calibri" w:hAnsi="Calibri"/>
          <w:sz w:val="22"/>
          <w:szCs w:val="22"/>
        </w:rPr>
        <w:t xml:space="preserve">Although infrequent in the developed world, children with severely restricted diets such as those with neurobehavioral conditions, eating disorders, malabsorption, undergoing dialysis, or receiving </w:t>
      </w:r>
      <w:proofErr w:type="spellStart"/>
      <w:r w:rsidRPr="00721701">
        <w:rPr>
          <w:rFonts w:ascii="Calibri" w:hAnsi="Calibri"/>
          <w:sz w:val="22"/>
          <w:szCs w:val="22"/>
        </w:rPr>
        <w:t>unsupplemented</w:t>
      </w:r>
      <w:proofErr w:type="spellEnd"/>
      <w:r w:rsidRPr="00721701">
        <w:rPr>
          <w:rFonts w:ascii="Calibri" w:hAnsi="Calibri"/>
          <w:sz w:val="22"/>
          <w:szCs w:val="22"/>
        </w:rPr>
        <w:t xml:space="preserve"> parenteral nutrition may develop vitamin C deficiency.</w:t>
      </w:r>
    </w:p>
    <w:p w:rsidR="0036129F" w:rsidRPr="00721701" w:rsidRDefault="0036129F" w:rsidP="0036129F">
      <w:pPr>
        <w:pStyle w:val="ListParagraph"/>
        <w:numPr>
          <w:ilvl w:val="0"/>
          <w:numId w:val="6"/>
        </w:numPr>
        <w:rPr>
          <w:rFonts w:ascii="Calibri" w:hAnsi="Calibri"/>
          <w:sz w:val="22"/>
          <w:szCs w:val="22"/>
        </w:rPr>
      </w:pPr>
      <w:r w:rsidRPr="00721701">
        <w:rPr>
          <w:rFonts w:ascii="Calibri" w:hAnsi="Calibri"/>
          <w:sz w:val="22"/>
          <w:szCs w:val="22"/>
        </w:rPr>
        <w:t>Symptoms of vitamin C deficiency include fatigue, lethargy, corkscrew hairs, perifollicular keratosis that progresses to perifollicular hemorrhage, petechiae, ecchymoses, diarrhea, ocular hemorrhages, anemia, gum inflammation and hemorrhage, bone pain, subperiosteal hemorrhage, joint hemorrhage, arthropathy, and disordered bone matrix development.</w:t>
      </w:r>
    </w:p>
    <w:p w:rsidR="0036129F" w:rsidRDefault="0036129F" w:rsidP="0036129F">
      <w:pPr>
        <w:pStyle w:val="ListParagraph"/>
        <w:numPr>
          <w:ilvl w:val="0"/>
          <w:numId w:val="6"/>
        </w:numPr>
        <w:pBdr>
          <w:bottom w:val="single" w:sz="6" w:space="1" w:color="auto"/>
        </w:pBdr>
        <w:rPr>
          <w:rFonts w:ascii="Calibri" w:hAnsi="Calibri"/>
          <w:sz w:val="22"/>
          <w:szCs w:val="22"/>
        </w:rPr>
      </w:pPr>
      <w:r w:rsidRPr="00721701">
        <w:rPr>
          <w:rFonts w:ascii="Calibri" w:hAnsi="Calibri"/>
          <w:sz w:val="22"/>
          <w:szCs w:val="22"/>
        </w:rPr>
        <w:t>The most appropriate test to assess body stores of vitamin C is a leukocyte ascorbic acid level.</w:t>
      </w:r>
    </w:p>
    <w:p w:rsidR="00B060CF" w:rsidRDefault="00B060CF" w:rsidP="0036129F">
      <w:pPr>
        <w:rPr>
          <w:rFonts w:ascii="Calibri" w:hAnsi="Calibri"/>
          <w:sz w:val="22"/>
          <w:szCs w:val="22"/>
        </w:rPr>
      </w:pPr>
    </w:p>
    <w:p w:rsidR="0036129F" w:rsidRPr="00721701" w:rsidRDefault="0036129F" w:rsidP="0036129F">
      <w:pPr>
        <w:pStyle w:val="ListParagraph"/>
        <w:numPr>
          <w:ilvl w:val="0"/>
          <w:numId w:val="1"/>
        </w:numPr>
        <w:rPr>
          <w:rFonts w:ascii="Calibri" w:hAnsi="Calibri"/>
          <w:sz w:val="22"/>
          <w:szCs w:val="22"/>
        </w:rPr>
      </w:pPr>
      <w:r w:rsidRPr="00721701">
        <w:rPr>
          <w:rFonts w:ascii="Calibri" w:hAnsi="Calibri"/>
          <w:sz w:val="22"/>
          <w:szCs w:val="22"/>
        </w:rPr>
        <w:t>You are seeing a 4-month-old infant with poor growth and an enlarged abdomen for follow-up care after an emergency de</w:t>
      </w:r>
      <w:bookmarkStart w:id="0" w:name="_GoBack"/>
      <w:bookmarkEnd w:id="0"/>
      <w:r w:rsidRPr="00721701">
        <w:rPr>
          <w:rFonts w:ascii="Calibri" w:hAnsi="Calibri"/>
          <w:sz w:val="22"/>
          <w:szCs w:val="22"/>
        </w:rPr>
        <w:t>partment visit. The parents state that they have taken the infant to the emergency department on several occasions for low blood sugar after the baby began to sleep through the night. One of these episodes was associated with a seizure.</w:t>
      </w:r>
    </w:p>
    <w:p w:rsidR="0036129F" w:rsidRPr="00721701" w:rsidRDefault="0036129F" w:rsidP="0036129F">
      <w:pPr>
        <w:pStyle w:val="ListParagraph"/>
        <w:rPr>
          <w:rFonts w:ascii="Calibri" w:hAnsi="Calibri"/>
          <w:sz w:val="22"/>
          <w:szCs w:val="22"/>
        </w:rPr>
      </w:pPr>
    </w:p>
    <w:p w:rsidR="0036129F" w:rsidRPr="00721701" w:rsidRDefault="0036129F" w:rsidP="00B060CF">
      <w:pPr>
        <w:pStyle w:val="ListParagraph"/>
        <w:ind w:left="360"/>
        <w:rPr>
          <w:rFonts w:ascii="Calibri" w:hAnsi="Calibri"/>
          <w:sz w:val="22"/>
          <w:szCs w:val="22"/>
        </w:rPr>
      </w:pPr>
      <w:r w:rsidRPr="00721701">
        <w:rPr>
          <w:rFonts w:ascii="Calibri" w:hAnsi="Calibri"/>
          <w:sz w:val="22"/>
          <w:szCs w:val="22"/>
        </w:rPr>
        <w:t xml:space="preserve">The infant has doll-like facies with fat cheeks, protuberant abdomen, hepatomegaly, </w:t>
      </w:r>
      <w:proofErr w:type="spellStart"/>
      <w:r w:rsidRPr="00721701">
        <w:rPr>
          <w:rFonts w:ascii="Calibri" w:hAnsi="Calibri"/>
          <w:sz w:val="22"/>
          <w:szCs w:val="22"/>
        </w:rPr>
        <w:t>renomegaly</w:t>
      </w:r>
      <w:proofErr w:type="spellEnd"/>
      <w:r w:rsidRPr="00721701">
        <w:rPr>
          <w:rFonts w:ascii="Calibri" w:hAnsi="Calibri"/>
          <w:sz w:val="22"/>
          <w:szCs w:val="22"/>
        </w:rPr>
        <w:t>, short stature, and thin arms and legs. No splenomegaly is noted.</w:t>
      </w:r>
    </w:p>
    <w:p w:rsidR="0036129F" w:rsidRPr="00721701" w:rsidRDefault="0036129F" w:rsidP="00B060CF">
      <w:pPr>
        <w:pStyle w:val="ListParagraph"/>
        <w:ind w:left="360"/>
        <w:rPr>
          <w:rFonts w:ascii="Calibri" w:hAnsi="Calibri"/>
          <w:sz w:val="22"/>
          <w:szCs w:val="22"/>
        </w:rPr>
      </w:pPr>
    </w:p>
    <w:p w:rsidR="0036129F" w:rsidRPr="00721701" w:rsidRDefault="0036129F" w:rsidP="00B060CF">
      <w:pPr>
        <w:pStyle w:val="ListParagraph"/>
        <w:ind w:left="360"/>
        <w:rPr>
          <w:rFonts w:ascii="Calibri" w:hAnsi="Calibri"/>
          <w:sz w:val="22"/>
          <w:szCs w:val="22"/>
        </w:rPr>
      </w:pPr>
      <w:r w:rsidRPr="00721701">
        <w:rPr>
          <w:rFonts w:ascii="Calibri" w:hAnsi="Calibri"/>
          <w:sz w:val="22"/>
          <w:szCs w:val="22"/>
        </w:rPr>
        <w:t>You order laboratory tests that reveal elevated lactate, uric acid, and lipid levels, along with a low serum glucose level. Liver transaminases, complete blood cell count, and hemoglobin A1C are within the normal range. You order an echocardiogram that rules out a congenital heart defect with associated congestive heart failure.</w:t>
      </w:r>
    </w:p>
    <w:p w:rsidR="0036129F" w:rsidRPr="00721701" w:rsidRDefault="0036129F" w:rsidP="00B060CF">
      <w:pPr>
        <w:pStyle w:val="ListParagraph"/>
        <w:ind w:left="360"/>
        <w:rPr>
          <w:rFonts w:ascii="Calibri" w:hAnsi="Calibri"/>
          <w:sz w:val="22"/>
          <w:szCs w:val="22"/>
        </w:rPr>
      </w:pPr>
    </w:p>
    <w:p w:rsidR="0036129F" w:rsidRPr="00721701" w:rsidRDefault="0036129F" w:rsidP="00B060CF">
      <w:pPr>
        <w:pStyle w:val="ListParagraph"/>
        <w:ind w:left="360"/>
        <w:rPr>
          <w:rFonts w:ascii="Calibri" w:hAnsi="Calibri"/>
          <w:sz w:val="22"/>
          <w:szCs w:val="22"/>
        </w:rPr>
      </w:pPr>
      <w:r w:rsidRPr="00721701">
        <w:rPr>
          <w:rFonts w:ascii="Calibri" w:hAnsi="Calibri"/>
          <w:sz w:val="22"/>
          <w:szCs w:val="22"/>
        </w:rPr>
        <w:t>The family history is unremarkable, and the infant’s developmental milestones are appropriate.</w:t>
      </w:r>
    </w:p>
    <w:p w:rsidR="0036129F" w:rsidRPr="00721701" w:rsidRDefault="0036129F" w:rsidP="00B060CF">
      <w:pPr>
        <w:pStyle w:val="ListParagraph"/>
        <w:ind w:left="360"/>
        <w:rPr>
          <w:rFonts w:ascii="Calibri" w:hAnsi="Calibri"/>
          <w:sz w:val="22"/>
          <w:szCs w:val="22"/>
        </w:rPr>
      </w:pPr>
    </w:p>
    <w:p w:rsidR="0036129F" w:rsidRDefault="0036129F" w:rsidP="00B060CF">
      <w:pPr>
        <w:pStyle w:val="ListParagraph"/>
        <w:ind w:left="360"/>
        <w:rPr>
          <w:rFonts w:ascii="Calibri" w:hAnsi="Calibri"/>
          <w:sz w:val="22"/>
          <w:szCs w:val="22"/>
        </w:rPr>
      </w:pPr>
      <w:r w:rsidRPr="00721701">
        <w:rPr>
          <w:rFonts w:ascii="Calibri" w:hAnsi="Calibri"/>
          <w:sz w:val="22"/>
          <w:szCs w:val="22"/>
        </w:rPr>
        <w:t>Of the following, the MOST likely disorder to present with these clinical and laboratory findings is</w:t>
      </w:r>
    </w:p>
    <w:p w:rsidR="0036129F" w:rsidRDefault="0036129F" w:rsidP="00B060CF">
      <w:pPr>
        <w:pStyle w:val="ListParagraph"/>
        <w:ind w:left="360"/>
        <w:rPr>
          <w:rFonts w:ascii="Calibri" w:hAnsi="Calibri"/>
          <w:sz w:val="22"/>
          <w:szCs w:val="22"/>
        </w:rPr>
      </w:pPr>
    </w:p>
    <w:p w:rsidR="0036129F" w:rsidRPr="00721701" w:rsidRDefault="0036129F" w:rsidP="00B060CF">
      <w:pPr>
        <w:pStyle w:val="ListParagraph"/>
        <w:ind w:left="360"/>
        <w:rPr>
          <w:rFonts w:ascii="Calibri" w:hAnsi="Calibri"/>
          <w:sz w:val="22"/>
          <w:szCs w:val="22"/>
        </w:rPr>
      </w:pPr>
      <w:r w:rsidRPr="00721701">
        <w:rPr>
          <w:rFonts w:ascii="Calibri" w:hAnsi="Calibri"/>
          <w:sz w:val="22"/>
          <w:szCs w:val="22"/>
        </w:rPr>
        <w:tab/>
        <w:t>A.</w:t>
      </w:r>
      <w:r w:rsidRPr="00721701">
        <w:rPr>
          <w:rFonts w:ascii="Calibri" w:hAnsi="Calibri"/>
          <w:sz w:val="22"/>
          <w:szCs w:val="22"/>
        </w:rPr>
        <w:tab/>
        <w:t>Gaucher disease</w:t>
      </w:r>
    </w:p>
    <w:p w:rsidR="0036129F" w:rsidRPr="00721701" w:rsidRDefault="0036129F" w:rsidP="00B060CF">
      <w:pPr>
        <w:pStyle w:val="ListParagraph"/>
        <w:ind w:left="360"/>
        <w:rPr>
          <w:rFonts w:ascii="Calibri" w:hAnsi="Calibri"/>
          <w:sz w:val="22"/>
          <w:szCs w:val="22"/>
        </w:rPr>
      </w:pPr>
      <w:r w:rsidRPr="00721701">
        <w:rPr>
          <w:rFonts w:ascii="Calibri" w:hAnsi="Calibri"/>
          <w:sz w:val="22"/>
          <w:szCs w:val="22"/>
        </w:rPr>
        <w:tab/>
        <w:t>B.</w:t>
      </w:r>
      <w:r w:rsidRPr="00721701">
        <w:rPr>
          <w:rFonts w:ascii="Calibri" w:hAnsi="Calibri"/>
          <w:sz w:val="22"/>
          <w:szCs w:val="22"/>
        </w:rPr>
        <w:tab/>
        <w:t>glycogen storage disease type I</w:t>
      </w:r>
    </w:p>
    <w:p w:rsidR="0036129F" w:rsidRPr="00721701" w:rsidRDefault="0036129F" w:rsidP="00B060CF">
      <w:pPr>
        <w:pStyle w:val="ListParagraph"/>
        <w:ind w:left="360"/>
        <w:rPr>
          <w:rFonts w:ascii="Calibri" w:hAnsi="Calibri"/>
          <w:sz w:val="22"/>
          <w:szCs w:val="22"/>
        </w:rPr>
      </w:pPr>
      <w:r w:rsidRPr="00721701">
        <w:rPr>
          <w:rFonts w:ascii="Calibri" w:hAnsi="Calibri"/>
          <w:sz w:val="22"/>
          <w:szCs w:val="22"/>
        </w:rPr>
        <w:tab/>
        <w:t>C.</w:t>
      </w:r>
      <w:r w:rsidRPr="00721701">
        <w:rPr>
          <w:rFonts w:ascii="Calibri" w:hAnsi="Calibri"/>
          <w:sz w:val="22"/>
          <w:szCs w:val="22"/>
        </w:rPr>
        <w:tab/>
        <w:t>Hurler syndrome</w:t>
      </w:r>
    </w:p>
    <w:p w:rsidR="0036129F" w:rsidRPr="00721701" w:rsidRDefault="0036129F" w:rsidP="00B060CF">
      <w:pPr>
        <w:pStyle w:val="ListParagraph"/>
        <w:ind w:left="360"/>
        <w:rPr>
          <w:rFonts w:ascii="Calibri" w:hAnsi="Calibri"/>
          <w:sz w:val="22"/>
          <w:szCs w:val="22"/>
        </w:rPr>
      </w:pPr>
      <w:r w:rsidRPr="00721701">
        <w:rPr>
          <w:rFonts w:ascii="Calibri" w:hAnsi="Calibri"/>
          <w:sz w:val="22"/>
          <w:szCs w:val="22"/>
        </w:rPr>
        <w:tab/>
        <w:t>D.</w:t>
      </w:r>
      <w:r w:rsidRPr="00721701">
        <w:rPr>
          <w:rFonts w:ascii="Calibri" w:hAnsi="Calibri"/>
          <w:sz w:val="22"/>
          <w:szCs w:val="22"/>
        </w:rPr>
        <w:tab/>
        <w:t>peroxisomal disorder</w:t>
      </w:r>
    </w:p>
    <w:p w:rsidR="0036129F" w:rsidRDefault="0036129F" w:rsidP="0036129F">
      <w:pPr>
        <w:pStyle w:val="ListParagraph"/>
        <w:rPr>
          <w:rFonts w:ascii="Calibri" w:hAnsi="Calibri"/>
          <w:sz w:val="22"/>
          <w:szCs w:val="22"/>
        </w:rPr>
      </w:pPr>
      <w:r w:rsidRPr="00721701">
        <w:rPr>
          <w:rFonts w:ascii="Calibri" w:hAnsi="Calibri"/>
          <w:sz w:val="22"/>
          <w:szCs w:val="22"/>
        </w:rPr>
        <w:tab/>
        <w:t>E.</w:t>
      </w:r>
      <w:r w:rsidRPr="00721701">
        <w:rPr>
          <w:rFonts w:ascii="Calibri" w:hAnsi="Calibri"/>
          <w:sz w:val="22"/>
          <w:szCs w:val="22"/>
        </w:rPr>
        <w:tab/>
      </w:r>
      <w:proofErr w:type="spellStart"/>
      <w:r w:rsidRPr="00721701">
        <w:rPr>
          <w:rFonts w:ascii="Calibri" w:hAnsi="Calibri"/>
          <w:sz w:val="22"/>
          <w:szCs w:val="22"/>
        </w:rPr>
        <w:t>Pompe</w:t>
      </w:r>
      <w:proofErr w:type="spellEnd"/>
      <w:r w:rsidRPr="00721701">
        <w:rPr>
          <w:rFonts w:ascii="Calibri" w:hAnsi="Calibri"/>
          <w:sz w:val="22"/>
          <w:szCs w:val="22"/>
        </w:rPr>
        <w:t xml:space="preserve"> disease</w:t>
      </w:r>
    </w:p>
    <w:p w:rsidR="0036129F" w:rsidRDefault="0036129F" w:rsidP="0036129F">
      <w:pPr>
        <w:pStyle w:val="ListParagraph"/>
        <w:rPr>
          <w:rFonts w:ascii="Calibri" w:hAnsi="Calibri"/>
          <w:sz w:val="22"/>
          <w:szCs w:val="22"/>
        </w:rPr>
      </w:pPr>
    </w:p>
    <w:p w:rsidR="0036129F" w:rsidRDefault="0036129F" w:rsidP="0036129F">
      <w:pPr>
        <w:pStyle w:val="ListParagraph"/>
        <w:rPr>
          <w:rFonts w:ascii="Calibri" w:hAnsi="Calibri"/>
          <w:sz w:val="22"/>
          <w:szCs w:val="22"/>
        </w:rPr>
      </w:pPr>
      <w:r>
        <w:rPr>
          <w:rFonts w:ascii="Calibri" w:hAnsi="Calibri"/>
          <w:sz w:val="22"/>
          <w:szCs w:val="22"/>
        </w:rPr>
        <w:t xml:space="preserve">Answer: B </w:t>
      </w:r>
    </w:p>
    <w:p w:rsidR="0036129F" w:rsidRDefault="0036129F" w:rsidP="0036129F">
      <w:pPr>
        <w:pStyle w:val="ListParagraph"/>
        <w:rPr>
          <w:rFonts w:ascii="Calibri" w:hAnsi="Calibri"/>
          <w:sz w:val="22"/>
          <w:szCs w:val="22"/>
        </w:rPr>
      </w:pPr>
    </w:p>
    <w:p w:rsidR="0036129F" w:rsidRPr="00CA2DED" w:rsidRDefault="0036129F" w:rsidP="0036129F">
      <w:pPr>
        <w:pStyle w:val="ListParagraph"/>
        <w:rPr>
          <w:rFonts w:ascii="Calibri" w:hAnsi="Calibri"/>
          <w:sz w:val="22"/>
          <w:szCs w:val="22"/>
        </w:rPr>
      </w:pPr>
      <w:r w:rsidRPr="00CA2DED">
        <w:rPr>
          <w:rFonts w:ascii="Calibri" w:hAnsi="Calibri"/>
          <w:sz w:val="22"/>
          <w:szCs w:val="22"/>
        </w:rPr>
        <w:t xml:space="preserve">The infant in this vignette has glycogen storage disease type I (GSDI), which classically presents with hepatomegaly, </w:t>
      </w:r>
      <w:proofErr w:type="spellStart"/>
      <w:r w:rsidRPr="00CA2DED">
        <w:rPr>
          <w:rFonts w:ascii="Calibri" w:hAnsi="Calibri"/>
          <w:sz w:val="22"/>
          <w:szCs w:val="22"/>
        </w:rPr>
        <w:t>renomegaly</w:t>
      </w:r>
      <w:proofErr w:type="spellEnd"/>
      <w:r w:rsidRPr="00CA2DED">
        <w:rPr>
          <w:rFonts w:ascii="Calibri" w:hAnsi="Calibri"/>
          <w:sz w:val="22"/>
          <w:szCs w:val="22"/>
        </w:rPr>
        <w:t xml:space="preserve">, and recurrent episodes of hypoglycemia. The classic appearance consists of doll-like facies with chubby cheeks, thin extremities, distended </w:t>
      </w:r>
      <w:r w:rsidRPr="00CA2DED">
        <w:rPr>
          <w:rFonts w:ascii="Calibri" w:hAnsi="Calibri"/>
          <w:sz w:val="22"/>
          <w:szCs w:val="22"/>
        </w:rPr>
        <w:lastRenderedPageBreak/>
        <w:t xml:space="preserve">abdomen, and short stature. In addition to hypoglycemia, children with GSDI have lactic acidosis, hyperlipidemia, hypertriglyceridemia, and hyperuricemia. The 2 subtypes, </w:t>
      </w:r>
      <w:proofErr w:type="spellStart"/>
      <w:r w:rsidRPr="00CA2DED">
        <w:rPr>
          <w:rFonts w:ascii="Calibri" w:hAnsi="Calibri"/>
          <w:sz w:val="22"/>
          <w:szCs w:val="22"/>
        </w:rPr>
        <w:t>GSDIb</w:t>
      </w:r>
      <w:proofErr w:type="spellEnd"/>
      <w:r w:rsidRPr="00CA2DED">
        <w:rPr>
          <w:rFonts w:ascii="Calibri" w:hAnsi="Calibri"/>
          <w:sz w:val="22"/>
          <w:szCs w:val="22"/>
        </w:rPr>
        <w:t xml:space="preserve"> and </w:t>
      </w:r>
      <w:proofErr w:type="spellStart"/>
      <w:r w:rsidRPr="00CA2DED">
        <w:rPr>
          <w:rFonts w:ascii="Calibri" w:hAnsi="Calibri"/>
          <w:sz w:val="22"/>
          <w:szCs w:val="22"/>
        </w:rPr>
        <w:t>GSDIa</w:t>
      </w:r>
      <w:proofErr w:type="spellEnd"/>
      <w:r w:rsidRPr="00CA2DED">
        <w:rPr>
          <w:rFonts w:ascii="Calibri" w:hAnsi="Calibri"/>
          <w:sz w:val="22"/>
          <w:szCs w:val="22"/>
        </w:rPr>
        <w:t xml:space="preserve">, are clinically difficult to distinguish. Untreated </w:t>
      </w:r>
      <w:proofErr w:type="spellStart"/>
      <w:r w:rsidRPr="00CA2DED">
        <w:rPr>
          <w:rFonts w:ascii="Calibri" w:hAnsi="Calibri"/>
          <w:sz w:val="22"/>
          <w:szCs w:val="22"/>
        </w:rPr>
        <w:t>GSDIb</w:t>
      </w:r>
      <w:proofErr w:type="spellEnd"/>
      <w:r w:rsidRPr="00CA2DED">
        <w:rPr>
          <w:rFonts w:ascii="Calibri" w:hAnsi="Calibri"/>
          <w:sz w:val="22"/>
          <w:szCs w:val="22"/>
        </w:rPr>
        <w:t xml:space="preserve"> patients have recurrent bacterial infections and mucosal ulcerations of the intestinal and oral regions caused by impaired monocyte and neutrophil function. Untreated children with either subtype will experience poor growth, pubertal delays, gout, chronic kidney disease, pulmonary hypertension, osteoporosis, hepatic adenomas, atherosclerosis, pancreatitis, and polycystic ovaries. Children who are treated are likely to have normal growth, and most will survive into adulthood.</w:t>
      </w:r>
    </w:p>
    <w:p w:rsidR="0036129F" w:rsidRPr="00CA2DED" w:rsidRDefault="0036129F" w:rsidP="0036129F">
      <w:pPr>
        <w:pStyle w:val="ListParagraph"/>
        <w:rPr>
          <w:rFonts w:ascii="Calibri" w:hAnsi="Calibri"/>
          <w:sz w:val="22"/>
          <w:szCs w:val="22"/>
        </w:rPr>
      </w:pPr>
    </w:p>
    <w:p w:rsidR="0036129F" w:rsidRPr="00CA2DED" w:rsidRDefault="0036129F" w:rsidP="0036129F">
      <w:pPr>
        <w:pStyle w:val="ListParagraph"/>
        <w:rPr>
          <w:rFonts w:ascii="Calibri" w:hAnsi="Calibri"/>
          <w:sz w:val="22"/>
          <w:szCs w:val="22"/>
        </w:rPr>
      </w:pPr>
      <w:r w:rsidRPr="00CA2DED">
        <w:rPr>
          <w:rFonts w:ascii="Calibri" w:hAnsi="Calibri"/>
          <w:sz w:val="22"/>
          <w:szCs w:val="22"/>
        </w:rPr>
        <w:t>Multifactorial treatment is needed to address the laboratory abnormalities and clinical manifestations of GSDI. Treatment components typically include: optimal nutritional therapy to avoid episodes of hypoglycemia; allopurinol; lipid-reducing medications; citrate supplementation; angiotensin-converting enzyme inhibitors; treatment for hepatic adenomas; human granulocyte colony-stimulating factor for recurrent infections; and a diet low in sucrose and fructose. Transplant of the liver, kidneys, or both may be necessary.</w:t>
      </w:r>
    </w:p>
    <w:p w:rsidR="0036129F" w:rsidRPr="00CA2DED" w:rsidRDefault="0036129F" w:rsidP="0036129F">
      <w:pPr>
        <w:pStyle w:val="ListParagraph"/>
        <w:rPr>
          <w:rFonts w:ascii="Calibri" w:hAnsi="Calibri"/>
          <w:sz w:val="22"/>
          <w:szCs w:val="22"/>
        </w:rPr>
      </w:pPr>
    </w:p>
    <w:p w:rsidR="0036129F" w:rsidRPr="00CA2DED" w:rsidRDefault="0036129F" w:rsidP="0036129F">
      <w:pPr>
        <w:pStyle w:val="ListParagraph"/>
        <w:rPr>
          <w:rFonts w:ascii="Calibri" w:hAnsi="Calibri"/>
          <w:sz w:val="22"/>
          <w:szCs w:val="22"/>
        </w:rPr>
      </w:pPr>
      <w:r w:rsidRPr="00CA2DED">
        <w:rPr>
          <w:rFonts w:ascii="Calibri" w:hAnsi="Calibri"/>
          <w:sz w:val="22"/>
          <w:szCs w:val="22"/>
        </w:rPr>
        <w:t>Glycogen storage disease type I is an autosomal recessive disorder caused either by a deficiency of glucose-6-phosphatase catalytic activity (</w:t>
      </w:r>
      <w:proofErr w:type="spellStart"/>
      <w:r w:rsidRPr="00CA2DED">
        <w:rPr>
          <w:rFonts w:ascii="Calibri" w:hAnsi="Calibri"/>
          <w:sz w:val="22"/>
          <w:szCs w:val="22"/>
        </w:rPr>
        <w:t>GSDIa</w:t>
      </w:r>
      <w:proofErr w:type="spellEnd"/>
      <w:r w:rsidRPr="00CA2DED">
        <w:rPr>
          <w:rFonts w:ascii="Calibri" w:hAnsi="Calibri"/>
          <w:sz w:val="22"/>
          <w:szCs w:val="22"/>
        </w:rPr>
        <w:t>) or by a defect in glucose-6-phosphate translocase (</w:t>
      </w:r>
      <w:proofErr w:type="spellStart"/>
      <w:r w:rsidRPr="00CA2DED">
        <w:rPr>
          <w:rFonts w:ascii="Calibri" w:hAnsi="Calibri"/>
          <w:sz w:val="22"/>
          <w:szCs w:val="22"/>
        </w:rPr>
        <w:t>GSDIb</w:t>
      </w:r>
      <w:proofErr w:type="spellEnd"/>
      <w:r w:rsidRPr="00CA2DED">
        <w:rPr>
          <w:rFonts w:ascii="Calibri" w:hAnsi="Calibri"/>
          <w:sz w:val="22"/>
          <w:szCs w:val="22"/>
        </w:rPr>
        <w:t xml:space="preserve">). The genes involved are G6PC in </w:t>
      </w:r>
      <w:proofErr w:type="spellStart"/>
      <w:r w:rsidRPr="00CA2DED">
        <w:rPr>
          <w:rFonts w:ascii="Calibri" w:hAnsi="Calibri"/>
          <w:sz w:val="22"/>
          <w:szCs w:val="22"/>
        </w:rPr>
        <w:t>GSDIa</w:t>
      </w:r>
      <w:proofErr w:type="spellEnd"/>
      <w:r w:rsidRPr="00CA2DED">
        <w:rPr>
          <w:rFonts w:ascii="Calibri" w:hAnsi="Calibri"/>
          <w:sz w:val="22"/>
          <w:szCs w:val="22"/>
        </w:rPr>
        <w:t xml:space="preserve"> and SLC37A4 in </w:t>
      </w:r>
      <w:proofErr w:type="spellStart"/>
      <w:r w:rsidRPr="00CA2DED">
        <w:rPr>
          <w:rFonts w:ascii="Calibri" w:hAnsi="Calibri"/>
          <w:sz w:val="22"/>
          <w:szCs w:val="22"/>
        </w:rPr>
        <w:t>GSDIb</w:t>
      </w:r>
      <w:proofErr w:type="spellEnd"/>
      <w:r w:rsidRPr="00CA2DED">
        <w:rPr>
          <w:rFonts w:ascii="Calibri" w:hAnsi="Calibri"/>
          <w:sz w:val="22"/>
          <w:szCs w:val="22"/>
        </w:rPr>
        <w:t>. Confirmation of a clinical diagnosis requires demonstration of deficient enzyme activity or molecular confirmation of known pathogenic gene mutations.</w:t>
      </w:r>
    </w:p>
    <w:p w:rsidR="0036129F" w:rsidRPr="00CA2DED" w:rsidRDefault="0036129F" w:rsidP="0036129F">
      <w:pPr>
        <w:pStyle w:val="ListParagraph"/>
        <w:rPr>
          <w:rFonts w:ascii="Calibri" w:hAnsi="Calibri"/>
          <w:sz w:val="22"/>
          <w:szCs w:val="22"/>
        </w:rPr>
      </w:pPr>
    </w:p>
    <w:p w:rsidR="0036129F" w:rsidRPr="00CA2DED" w:rsidRDefault="0036129F" w:rsidP="0036129F">
      <w:pPr>
        <w:pStyle w:val="ListParagraph"/>
        <w:rPr>
          <w:rFonts w:ascii="Calibri" w:hAnsi="Calibri"/>
          <w:sz w:val="22"/>
          <w:szCs w:val="22"/>
        </w:rPr>
      </w:pPr>
      <w:r w:rsidRPr="00CA2DED">
        <w:rPr>
          <w:rFonts w:ascii="Calibri" w:hAnsi="Calibri"/>
          <w:sz w:val="22"/>
          <w:szCs w:val="22"/>
        </w:rPr>
        <w:t xml:space="preserve">Gaucher disease is an autosomal recessive lysosomal storage disorder that has a spectrum of presentations but universally includes bone disease, hepatosplenomegaly, </w:t>
      </w:r>
      <w:proofErr w:type="spellStart"/>
      <w:r w:rsidRPr="00CA2DED">
        <w:rPr>
          <w:rFonts w:ascii="Calibri" w:hAnsi="Calibri"/>
          <w:sz w:val="22"/>
          <w:szCs w:val="22"/>
        </w:rPr>
        <w:t>cytopenias</w:t>
      </w:r>
      <w:proofErr w:type="spellEnd"/>
      <w:r w:rsidRPr="00CA2DED">
        <w:rPr>
          <w:rFonts w:ascii="Calibri" w:hAnsi="Calibri"/>
          <w:sz w:val="22"/>
          <w:szCs w:val="22"/>
        </w:rPr>
        <w:t>, and pulmonary disease. Gaucher disease types 2 and 3 also have neurologic involvement.</w:t>
      </w:r>
    </w:p>
    <w:p w:rsidR="0036129F" w:rsidRPr="00CA2DED" w:rsidRDefault="0036129F" w:rsidP="0036129F">
      <w:pPr>
        <w:pStyle w:val="ListParagraph"/>
        <w:rPr>
          <w:rFonts w:ascii="Calibri" w:hAnsi="Calibri"/>
          <w:sz w:val="22"/>
          <w:szCs w:val="22"/>
        </w:rPr>
      </w:pPr>
    </w:p>
    <w:p w:rsidR="0036129F" w:rsidRPr="00CA2DED" w:rsidRDefault="0036129F" w:rsidP="0036129F">
      <w:pPr>
        <w:pStyle w:val="ListParagraph"/>
        <w:rPr>
          <w:rFonts w:ascii="Calibri" w:hAnsi="Calibri"/>
          <w:sz w:val="22"/>
          <w:szCs w:val="22"/>
        </w:rPr>
      </w:pPr>
      <w:r w:rsidRPr="00CA2DED">
        <w:rPr>
          <w:rFonts w:ascii="Calibri" w:hAnsi="Calibri"/>
          <w:sz w:val="22"/>
          <w:szCs w:val="22"/>
        </w:rPr>
        <w:t>Hurler syndrome is an autosomal recessive lysosomal storage disorder that presents with coarsening of facial features over time but normal appearance at birth. Common manifestations as the storage material accumulates include umbilical and inguinal hernias, frequent upper respiratory infections, skeletal involvement (dysostosis multiplex), hearing loss, hepatosplenomegaly, valvular cardiac disease, and progressive intellectual disability.</w:t>
      </w:r>
    </w:p>
    <w:p w:rsidR="0036129F" w:rsidRPr="00CA2DED" w:rsidRDefault="0036129F" w:rsidP="0036129F">
      <w:pPr>
        <w:pStyle w:val="ListParagraph"/>
        <w:rPr>
          <w:rFonts w:ascii="Calibri" w:hAnsi="Calibri"/>
          <w:sz w:val="22"/>
          <w:szCs w:val="22"/>
        </w:rPr>
      </w:pPr>
    </w:p>
    <w:p w:rsidR="0036129F" w:rsidRPr="00CA2DED" w:rsidRDefault="0036129F" w:rsidP="0036129F">
      <w:pPr>
        <w:pStyle w:val="ListParagraph"/>
        <w:rPr>
          <w:rFonts w:ascii="Calibri" w:hAnsi="Calibri"/>
          <w:sz w:val="22"/>
          <w:szCs w:val="22"/>
        </w:rPr>
      </w:pPr>
      <w:r w:rsidRPr="00CA2DED">
        <w:rPr>
          <w:rFonts w:ascii="Calibri" w:hAnsi="Calibri"/>
          <w:sz w:val="22"/>
          <w:szCs w:val="22"/>
        </w:rPr>
        <w:t>Peroxisomal biogenesis disorders are autosomal recessive disorders caused by impaired peroxisomal fatty acid metabolism. Infants with these disorders exhibit hypotonia, distinctive facies, poor feeding, seizures, and hepatic dysfunction. As the disease progresses, retinal dystrophy, sensorineural hearing loss, and progressive developmental disability occur.</w:t>
      </w:r>
    </w:p>
    <w:p w:rsidR="0036129F" w:rsidRPr="00CA2DED" w:rsidRDefault="0036129F" w:rsidP="0036129F">
      <w:pPr>
        <w:pStyle w:val="ListParagraph"/>
        <w:rPr>
          <w:rFonts w:ascii="Calibri" w:hAnsi="Calibri"/>
          <w:sz w:val="22"/>
          <w:szCs w:val="22"/>
        </w:rPr>
      </w:pPr>
    </w:p>
    <w:p w:rsidR="0036129F" w:rsidRPr="00CA2DED" w:rsidRDefault="0036129F" w:rsidP="0036129F">
      <w:pPr>
        <w:pStyle w:val="ListParagraph"/>
        <w:rPr>
          <w:rFonts w:ascii="Calibri" w:hAnsi="Calibri"/>
          <w:sz w:val="22"/>
          <w:szCs w:val="22"/>
        </w:rPr>
      </w:pPr>
      <w:r w:rsidRPr="00CA2DED">
        <w:rPr>
          <w:rFonts w:ascii="Calibri" w:hAnsi="Calibri"/>
          <w:sz w:val="22"/>
          <w:szCs w:val="22"/>
        </w:rPr>
        <w:t xml:space="preserve">Infantile </w:t>
      </w:r>
      <w:proofErr w:type="spellStart"/>
      <w:r w:rsidRPr="00CA2DED">
        <w:rPr>
          <w:rFonts w:ascii="Calibri" w:hAnsi="Calibri"/>
          <w:sz w:val="22"/>
          <w:szCs w:val="22"/>
        </w:rPr>
        <w:t>Pompe</w:t>
      </w:r>
      <w:proofErr w:type="spellEnd"/>
      <w:r w:rsidRPr="00CA2DED">
        <w:rPr>
          <w:rFonts w:ascii="Calibri" w:hAnsi="Calibri"/>
          <w:sz w:val="22"/>
          <w:szCs w:val="22"/>
        </w:rPr>
        <w:t xml:space="preserve"> disease is another autosomal recessive disorder that presents with severe hypotonia, muscular weakness, cardiomegaly with progression to cardiac failure, failure to thrive, and respiratory distress. It is the only glycogen storage disease that is also a lysosomal storage disorder. Biochemical testing that supports the diagnosis includes an elevated creatine kinase level and urinary oligosaccharides. Confirmatory testing typically involves demonstration of reduced acid α-glucosidase activity. In </w:t>
      </w:r>
      <w:proofErr w:type="spellStart"/>
      <w:r w:rsidRPr="00CA2DED">
        <w:rPr>
          <w:rFonts w:ascii="Calibri" w:hAnsi="Calibri"/>
          <w:sz w:val="22"/>
          <w:szCs w:val="22"/>
        </w:rPr>
        <w:t>Pompe</w:t>
      </w:r>
      <w:proofErr w:type="spellEnd"/>
      <w:r w:rsidRPr="00CA2DED">
        <w:rPr>
          <w:rFonts w:ascii="Calibri" w:hAnsi="Calibri"/>
          <w:sz w:val="22"/>
          <w:szCs w:val="22"/>
        </w:rPr>
        <w:t xml:space="preserve"> disease, lysosomal glycogen accumulates preferentially in the skeletal muscle, cardiac muscle, and smooth muscle. Enzyme replacement therapy is available for this disorder and should be initiated as soon as possible to improve outcome and save lives.</w:t>
      </w:r>
    </w:p>
    <w:p w:rsidR="0036129F" w:rsidRPr="00CA2DED" w:rsidRDefault="0036129F" w:rsidP="0036129F">
      <w:pPr>
        <w:pStyle w:val="ListParagraph"/>
        <w:rPr>
          <w:rFonts w:ascii="Calibri" w:hAnsi="Calibri"/>
          <w:sz w:val="22"/>
          <w:szCs w:val="22"/>
        </w:rPr>
      </w:pPr>
    </w:p>
    <w:p w:rsidR="0036129F" w:rsidRPr="00CA2DED" w:rsidRDefault="0036129F" w:rsidP="0036129F">
      <w:pPr>
        <w:pStyle w:val="ListParagraph"/>
        <w:rPr>
          <w:rFonts w:ascii="Calibri" w:hAnsi="Calibri"/>
          <w:sz w:val="22"/>
          <w:szCs w:val="22"/>
        </w:rPr>
      </w:pPr>
      <w:r w:rsidRPr="00CA2DED">
        <w:rPr>
          <w:rFonts w:ascii="Calibri" w:hAnsi="Calibri"/>
          <w:sz w:val="22"/>
          <w:szCs w:val="22"/>
        </w:rPr>
        <w:lastRenderedPageBreak/>
        <w:t xml:space="preserve">Hypoglycemia is not a common clinical manifestation of Gaucher disease, Hurler syndrome, peroxisomal disorders, or </w:t>
      </w:r>
      <w:proofErr w:type="spellStart"/>
      <w:r w:rsidRPr="00CA2DED">
        <w:rPr>
          <w:rFonts w:ascii="Calibri" w:hAnsi="Calibri"/>
          <w:sz w:val="22"/>
          <w:szCs w:val="22"/>
        </w:rPr>
        <w:t>Pompe</w:t>
      </w:r>
      <w:proofErr w:type="spellEnd"/>
      <w:r w:rsidRPr="00CA2DED">
        <w:rPr>
          <w:rFonts w:ascii="Calibri" w:hAnsi="Calibri"/>
          <w:sz w:val="22"/>
          <w:szCs w:val="22"/>
        </w:rPr>
        <w:t xml:space="preserve"> disease.</w:t>
      </w:r>
    </w:p>
    <w:p w:rsidR="0036129F" w:rsidRPr="00CA2DED" w:rsidRDefault="0036129F" w:rsidP="0036129F">
      <w:pPr>
        <w:pStyle w:val="ListParagraph"/>
        <w:rPr>
          <w:rFonts w:ascii="Calibri" w:hAnsi="Calibri"/>
          <w:sz w:val="22"/>
          <w:szCs w:val="22"/>
        </w:rPr>
      </w:pPr>
    </w:p>
    <w:p w:rsidR="0036129F" w:rsidRPr="00CA2DED" w:rsidRDefault="0036129F" w:rsidP="0036129F">
      <w:pPr>
        <w:pStyle w:val="ListParagraph"/>
        <w:rPr>
          <w:rFonts w:ascii="Calibri" w:hAnsi="Calibri"/>
          <w:b/>
          <w:bCs/>
          <w:sz w:val="22"/>
          <w:szCs w:val="22"/>
          <w:u w:val="single"/>
        </w:rPr>
      </w:pPr>
      <w:r w:rsidRPr="00CA2DED">
        <w:rPr>
          <w:rFonts w:ascii="Calibri" w:hAnsi="Calibri"/>
          <w:b/>
          <w:bCs/>
          <w:sz w:val="22"/>
          <w:szCs w:val="22"/>
          <w:u w:val="single"/>
        </w:rPr>
        <w:t>PREP Pearls</w:t>
      </w:r>
    </w:p>
    <w:p w:rsidR="0036129F" w:rsidRPr="00CA2DED" w:rsidRDefault="0036129F" w:rsidP="0036129F">
      <w:pPr>
        <w:pStyle w:val="ListParagraph"/>
        <w:numPr>
          <w:ilvl w:val="0"/>
          <w:numId w:val="6"/>
        </w:numPr>
        <w:rPr>
          <w:rFonts w:ascii="Calibri" w:hAnsi="Calibri"/>
          <w:sz w:val="22"/>
          <w:szCs w:val="22"/>
        </w:rPr>
      </w:pPr>
      <w:r w:rsidRPr="00CA2DED">
        <w:rPr>
          <w:rFonts w:ascii="Calibri" w:hAnsi="Calibri"/>
          <w:sz w:val="22"/>
          <w:szCs w:val="22"/>
        </w:rPr>
        <w:t xml:space="preserve">Glycogen storage disease type I classically presents with hepatomegaly, </w:t>
      </w:r>
      <w:proofErr w:type="spellStart"/>
      <w:r w:rsidRPr="00CA2DED">
        <w:rPr>
          <w:rFonts w:ascii="Calibri" w:hAnsi="Calibri"/>
          <w:sz w:val="22"/>
          <w:szCs w:val="22"/>
        </w:rPr>
        <w:t>renomegaly</w:t>
      </w:r>
      <w:proofErr w:type="spellEnd"/>
      <w:r w:rsidRPr="00CA2DED">
        <w:rPr>
          <w:rFonts w:ascii="Calibri" w:hAnsi="Calibri"/>
          <w:sz w:val="22"/>
          <w:szCs w:val="22"/>
        </w:rPr>
        <w:t xml:space="preserve">, and recurrent episodes of hypoglycemia. Doll-like faces with chubby cheeks, thin extremities, distended abdomen, and short stature are common. </w:t>
      </w:r>
    </w:p>
    <w:p w:rsidR="0036129F" w:rsidRPr="00CA2DED" w:rsidRDefault="0036129F" w:rsidP="0036129F">
      <w:pPr>
        <w:pStyle w:val="ListParagraph"/>
        <w:numPr>
          <w:ilvl w:val="0"/>
          <w:numId w:val="6"/>
        </w:numPr>
        <w:rPr>
          <w:rFonts w:ascii="Calibri" w:hAnsi="Calibri"/>
          <w:sz w:val="22"/>
          <w:szCs w:val="22"/>
        </w:rPr>
      </w:pPr>
      <w:r w:rsidRPr="00CA2DED">
        <w:rPr>
          <w:rFonts w:ascii="Calibri" w:hAnsi="Calibri"/>
          <w:sz w:val="22"/>
          <w:szCs w:val="22"/>
        </w:rPr>
        <w:t>Children with glycogen storage disease have recurrent episodes of hypoglycemia, lactic acidosis, hyperlipidemia, hypertriglyceridemia, and hyperuricemia.</w:t>
      </w:r>
    </w:p>
    <w:p w:rsidR="0036129F" w:rsidRPr="00721701" w:rsidRDefault="0036129F" w:rsidP="0036129F">
      <w:pPr>
        <w:pStyle w:val="ListParagraph"/>
        <w:numPr>
          <w:ilvl w:val="0"/>
          <w:numId w:val="6"/>
        </w:numPr>
        <w:rPr>
          <w:rFonts w:ascii="Calibri" w:hAnsi="Calibri"/>
          <w:sz w:val="22"/>
          <w:szCs w:val="22"/>
        </w:rPr>
      </w:pPr>
      <w:r w:rsidRPr="00CA2DED">
        <w:rPr>
          <w:rFonts w:ascii="Calibri" w:hAnsi="Calibri"/>
          <w:sz w:val="22"/>
          <w:szCs w:val="22"/>
        </w:rPr>
        <w:t xml:space="preserve">Hypoglycemia is not a common in Gaucher disease, Hurler syndrome, peroxisomal disorders, or </w:t>
      </w:r>
      <w:proofErr w:type="spellStart"/>
      <w:r w:rsidRPr="00CA2DED">
        <w:rPr>
          <w:rFonts w:ascii="Calibri" w:hAnsi="Calibri"/>
          <w:sz w:val="22"/>
          <w:szCs w:val="22"/>
        </w:rPr>
        <w:t>Pompe</w:t>
      </w:r>
      <w:proofErr w:type="spellEnd"/>
      <w:r w:rsidRPr="00CA2DED">
        <w:rPr>
          <w:rFonts w:ascii="Calibri" w:hAnsi="Calibri"/>
          <w:sz w:val="22"/>
          <w:szCs w:val="22"/>
        </w:rPr>
        <w:t xml:space="preserve"> disease.</w:t>
      </w:r>
    </w:p>
    <w:p w:rsidR="00AD0D0B" w:rsidRPr="0036129F" w:rsidRDefault="00AD0D0B" w:rsidP="0036129F"/>
    <w:sectPr w:rsidR="00AD0D0B" w:rsidRPr="0036129F" w:rsidSect="003470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10BD9"/>
    <w:multiLevelType w:val="hybridMultilevel"/>
    <w:tmpl w:val="8A4AA6D0"/>
    <w:lvl w:ilvl="0" w:tplc="24788A9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A592BBD"/>
    <w:multiLevelType w:val="hybridMultilevel"/>
    <w:tmpl w:val="3AEE4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3439FD"/>
    <w:multiLevelType w:val="hybridMultilevel"/>
    <w:tmpl w:val="49FA8D20"/>
    <w:lvl w:ilvl="0" w:tplc="C7CC6CC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B81650"/>
    <w:multiLevelType w:val="hybridMultilevel"/>
    <w:tmpl w:val="CBBEE4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EB5EDE"/>
    <w:multiLevelType w:val="hybridMultilevel"/>
    <w:tmpl w:val="BBE013A2"/>
    <w:lvl w:ilvl="0" w:tplc="A928E2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7926BBC"/>
    <w:multiLevelType w:val="hybridMultilevel"/>
    <w:tmpl w:val="28E436D0"/>
    <w:lvl w:ilvl="0" w:tplc="59080F3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4E1"/>
    <w:rsid w:val="00033D06"/>
    <w:rsid w:val="000356E5"/>
    <w:rsid w:val="0005262B"/>
    <w:rsid w:val="000577B6"/>
    <w:rsid w:val="0006029A"/>
    <w:rsid w:val="00093921"/>
    <w:rsid w:val="00093A7E"/>
    <w:rsid w:val="000C0A46"/>
    <w:rsid w:val="000E1304"/>
    <w:rsid w:val="000E1A79"/>
    <w:rsid w:val="00132E99"/>
    <w:rsid w:val="001356F4"/>
    <w:rsid w:val="001738C7"/>
    <w:rsid w:val="00173FAB"/>
    <w:rsid w:val="001B7859"/>
    <w:rsid w:val="001F7237"/>
    <w:rsid w:val="00206B07"/>
    <w:rsid w:val="002129B0"/>
    <w:rsid w:val="00231CE4"/>
    <w:rsid w:val="00247080"/>
    <w:rsid w:val="00253B7F"/>
    <w:rsid w:val="002549A9"/>
    <w:rsid w:val="00264B25"/>
    <w:rsid w:val="00270DB3"/>
    <w:rsid w:val="00277C78"/>
    <w:rsid w:val="002A621B"/>
    <w:rsid w:val="002B7003"/>
    <w:rsid w:val="002C0674"/>
    <w:rsid w:val="002C7AAF"/>
    <w:rsid w:val="002F2E12"/>
    <w:rsid w:val="003150AE"/>
    <w:rsid w:val="00350115"/>
    <w:rsid w:val="0036129F"/>
    <w:rsid w:val="003854E1"/>
    <w:rsid w:val="003A7B2F"/>
    <w:rsid w:val="003F5379"/>
    <w:rsid w:val="0041022F"/>
    <w:rsid w:val="00452C81"/>
    <w:rsid w:val="00464FBF"/>
    <w:rsid w:val="004A3A4E"/>
    <w:rsid w:val="004E3BFF"/>
    <w:rsid w:val="004F53F6"/>
    <w:rsid w:val="00535E1D"/>
    <w:rsid w:val="005759FA"/>
    <w:rsid w:val="005C2241"/>
    <w:rsid w:val="005C7E8A"/>
    <w:rsid w:val="005D7920"/>
    <w:rsid w:val="005E0CE8"/>
    <w:rsid w:val="0063564A"/>
    <w:rsid w:val="00651353"/>
    <w:rsid w:val="00665BD1"/>
    <w:rsid w:val="00680A44"/>
    <w:rsid w:val="0068332D"/>
    <w:rsid w:val="0068673B"/>
    <w:rsid w:val="006A041A"/>
    <w:rsid w:val="006A4581"/>
    <w:rsid w:val="006D6B03"/>
    <w:rsid w:val="007070D6"/>
    <w:rsid w:val="00727C19"/>
    <w:rsid w:val="00745133"/>
    <w:rsid w:val="00756AD4"/>
    <w:rsid w:val="0079384D"/>
    <w:rsid w:val="00814BAF"/>
    <w:rsid w:val="008859BB"/>
    <w:rsid w:val="008D767E"/>
    <w:rsid w:val="00974145"/>
    <w:rsid w:val="00982C7F"/>
    <w:rsid w:val="00986F11"/>
    <w:rsid w:val="00991CEE"/>
    <w:rsid w:val="00995831"/>
    <w:rsid w:val="009F559A"/>
    <w:rsid w:val="00A054C1"/>
    <w:rsid w:val="00A070BB"/>
    <w:rsid w:val="00A20EF7"/>
    <w:rsid w:val="00A212D6"/>
    <w:rsid w:val="00A278F5"/>
    <w:rsid w:val="00A35D39"/>
    <w:rsid w:val="00A443BE"/>
    <w:rsid w:val="00A858E9"/>
    <w:rsid w:val="00A90E30"/>
    <w:rsid w:val="00AB4417"/>
    <w:rsid w:val="00AD0D0B"/>
    <w:rsid w:val="00AD7370"/>
    <w:rsid w:val="00AE0C26"/>
    <w:rsid w:val="00AE5E5C"/>
    <w:rsid w:val="00B060CF"/>
    <w:rsid w:val="00B13BE1"/>
    <w:rsid w:val="00B7792A"/>
    <w:rsid w:val="00C03AA4"/>
    <w:rsid w:val="00C244CA"/>
    <w:rsid w:val="00C371B4"/>
    <w:rsid w:val="00C466EC"/>
    <w:rsid w:val="00C74E56"/>
    <w:rsid w:val="00C75436"/>
    <w:rsid w:val="00CA095C"/>
    <w:rsid w:val="00CB0700"/>
    <w:rsid w:val="00CC5EB1"/>
    <w:rsid w:val="00CC7653"/>
    <w:rsid w:val="00CD1395"/>
    <w:rsid w:val="00CE4834"/>
    <w:rsid w:val="00D164C2"/>
    <w:rsid w:val="00D339AE"/>
    <w:rsid w:val="00D4297B"/>
    <w:rsid w:val="00D52B59"/>
    <w:rsid w:val="00D53A8C"/>
    <w:rsid w:val="00D63581"/>
    <w:rsid w:val="00D9572C"/>
    <w:rsid w:val="00DC680F"/>
    <w:rsid w:val="00DE1DB6"/>
    <w:rsid w:val="00DE2B7C"/>
    <w:rsid w:val="00DF264D"/>
    <w:rsid w:val="00E1374A"/>
    <w:rsid w:val="00E137D6"/>
    <w:rsid w:val="00E25D82"/>
    <w:rsid w:val="00E47E0E"/>
    <w:rsid w:val="00E953F9"/>
    <w:rsid w:val="00EC488F"/>
    <w:rsid w:val="00EC749D"/>
    <w:rsid w:val="00F030E1"/>
    <w:rsid w:val="00F15CB8"/>
    <w:rsid w:val="00FC7E10"/>
    <w:rsid w:val="00FE4D7A"/>
    <w:rsid w:val="00FF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F35F5"/>
  <w15:chartTrackingRefBased/>
  <w15:docId w15:val="{D71BCDDC-227D-4716-B940-0FB8396B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54E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4E1"/>
    <w:pPr>
      <w:ind w:left="720"/>
      <w:contextualSpacing/>
    </w:pPr>
  </w:style>
  <w:style w:type="paragraph" w:styleId="NormalWeb">
    <w:name w:val="Normal (Web)"/>
    <w:basedOn w:val="Normal"/>
    <w:uiPriority w:val="99"/>
    <w:semiHidden/>
    <w:unhideWhenUsed/>
    <w:rsid w:val="003854E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4201</Words>
  <Characters>23949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Wynne</dc:creator>
  <cp:keywords/>
  <dc:description/>
  <cp:lastModifiedBy>Wynne, Kathryn</cp:lastModifiedBy>
  <cp:revision>3</cp:revision>
  <dcterms:created xsi:type="dcterms:W3CDTF">2020-05-12T16:05:00Z</dcterms:created>
  <dcterms:modified xsi:type="dcterms:W3CDTF">2020-06-12T18:46:00Z</dcterms:modified>
</cp:coreProperties>
</file>