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5D7" w:rsidRPr="006F1CBE" w:rsidRDefault="00E435D7" w:rsidP="00E435D7">
      <w:pPr>
        <w:autoSpaceDE w:val="0"/>
        <w:autoSpaceDN w:val="0"/>
        <w:adjustRightInd w:val="0"/>
        <w:spacing w:line="276" w:lineRule="auto"/>
        <w:rPr>
          <w:b/>
          <w:color w:val="000000"/>
          <w:sz w:val="22"/>
          <w:szCs w:val="22"/>
        </w:rPr>
      </w:pPr>
      <w:r w:rsidRPr="006F1CBE">
        <w:rPr>
          <w:b/>
          <w:color w:val="000000"/>
          <w:sz w:val="22"/>
          <w:szCs w:val="22"/>
        </w:rPr>
        <w:t>Key Renal Resources (Objective II</w:t>
      </w:r>
      <w:r>
        <w:rPr>
          <w:b/>
          <w:color w:val="000000"/>
          <w:sz w:val="22"/>
          <w:szCs w:val="22"/>
        </w:rPr>
        <w:t>b</w:t>
      </w:r>
      <w:r w:rsidRPr="006F1CBE">
        <w:rPr>
          <w:b/>
          <w:color w:val="000000"/>
          <w:sz w:val="22"/>
          <w:szCs w:val="22"/>
        </w:rPr>
        <w:t xml:space="preserve">, </w:t>
      </w:r>
      <w:proofErr w:type="spellStart"/>
      <w:r w:rsidRPr="006F1CBE">
        <w:rPr>
          <w:b/>
          <w:color w:val="000000"/>
          <w:sz w:val="22"/>
          <w:szCs w:val="22"/>
        </w:rPr>
        <w:t>II</w:t>
      </w:r>
      <w:r>
        <w:rPr>
          <w:b/>
          <w:color w:val="000000"/>
          <w:sz w:val="22"/>
          <w:szCs w:val="22"/>
        </w:rPr>
        <w:t>c</w:t>
      </w:r>
      <w:proofErr w:type="spellEnd"/>
      <w:r w:rsidRPr="006F1CBE">
        <w:rPr>
          <w:b/>
          <w:color w:val="000000"/>
          <w:sz w:val="22"/>
          <w:szCs w:val="22"/>
        </w:rPr>
        <w:t xml:space="preserve">) </w:t>
      </w:r>
    </w:p>
    <w:p w:rsidR="00E435D7" w:rsidRPr="006F1CBE" w:rsidRDefault="00E435D7" w:rsidP="00E435D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color w:val="000000"/>
          <w:sz w:val="22"/>
          <w:szCs w:val="22"/>
        </w:rPr>
      </w:pPr>
      <w:r w:rsidRPr="006F1CBE">
        <w:rPr>
          <w:color w:val="000000"/>
          <w:sz w:val="22"/>
          <w:szCs w:val="22"/>
        </w:rPr>
        <w:t xml:space="preserve">The following graphs obtained from Dinkel et al. (1985) provide a reference for </w:t>
      </w:r>
      <w:hyperlink r:id="rId5" w:history="1">
        <w:r w:rsidRPr="006F1CBE">
          <w:rPr>
            <w:rStyle w:val="Hyperlink"/>
            <w:b/>
            <w:sz w:val="22"/>
            <w:szCs w:val="22"/>
          </w:rPr>
          <w:t>kidney length</w:t>
        </w:r>
      </w:hyperlink>
      <w:r w:rsidRPr="006F1CBE">
        <w:rPr>
          <w:color w:val="4472C4" w:themeColor="accent1"/>
          <w:sz w:val="22"/>
          <w:szCs w:val="22"/>
        </w:rPr>
        <w:t xml:space="preserve"> </w:t>
      </w:r>
      <w:r w:rsidRPr="006F1CBE">
        <w:rPr>
          <w:color w:val="000000"/>
          <w:sz w:val="22"/>
          <w:szCs w:val="22"/>
        </w:rPr>
        <w:t xml:space="preserve">and volume based on height. These </w:t>
      </w:r>
      <w:bookmarkStart w:id="0" w:name="_GoBack"/>
      <w:bookmarkEnd w:id="0"/>
      <w:r w:rsidRPr="006F1CBE">
        <w:rPr>
          <w:color w:val="000000"/>
          <w:sz w:val="22"/>
          <w:szCs w:val="22"/>
        </w:rPr>
        <w:t>are great for use in children requiring serial renal ultrasonography to monitor kidney growth and percentiles.</w:t>
      </w:r>
    </w:p>
    <w:p w:rsidR="00E435D7" w:rsidRDefault="00E435D7" w:rsidP="00E435D7">
      <w:pPr>
        <w:pStyle w:val="ListParagraph"/>
        <w:autoSpaceDE w:val="0"/>
        <w:autoSpaceDN w:val="0"/>
        <w:adjustRightInd w:val="0"/>
        <w:spacing w:line="276" w:lineRule="auto"/>
        <w:ind w:left="1440"/>
        <w:rPr>
          <w:color w:val="000000"/>
          <w:sz w:val="22"/>
          <w:szCs w:val="22"/>
        </w:rPr>
      </w:pPr>
      <w:r w:rsidRPr="006F1CBE">
        <w:rPr>
          <w:b/>
          <w:noProof/>
          <w:color w:val="000000"/>
          <w:sz w:val="22"/>
          <w:szCs w:val="22"/>
        </w:rPr>
        <w:drawing>
          <wp:inline distT="0" distB="0" distL="0" distR="0" wp14:anchorId="7F569C07" wp14:editId="38ACC423">
            <wp:extent cx="5380733" cy="4007381"/>
            <wp:effectExtent l="0" t="0" r="4445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84519" cy="40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5D7" w:rsidRPr="006F1CBE" w:rsidRDefault="00E435D7" w:rsidP="00E435D7">
      <w:pPr>
        <w:pStyle w:val="ListParagraph"/>
        <w:autoSpaceDE w:val="0"/>
        <w:autoSpaceDN w:val="0"/>
        <w:adjustRightInd w:val="0"/>
        <w:spacing w:line="276" w:lineRule="auto"/>
        <w:ind w:left="144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Dinkel et al. 1985</w:t>
      </w:r>
    </w:p>
    <w:p w:rsidR="00E435D7" w:rsidRPr="006F1CBE" w:rsidRDefault="00E435D7" w:rsidP="00E435D7">
      <w:pPr>
        <w:pStyle w:val="ListParagraph"/>
        <w:numPr>
          <w:ilvl w:val="0"/>
          <w:numId w:val="1"/>
        </w:numPr>
        <w:spacing w:line="276" w:lineRule="auto"/>
        <w:rPr>
          <w:color w:val="000000" w:themeColor="text1"/>
          <w:sz w:val="22"/>
          <w:szCs w:val="22"/>
        </w:rPr>
      </w:pPr>
      <w:r w:rsidRPr="006F1CBE">
        <w:rPr>
          <w:color w:val="000000" w:themeColor="text1"/>
          <w:sz w:val="22"/>
          <w:szCs w:val="22"/>
        </w:rPr>
        <w:t xml:space="preserve">The </w:t>
      </w:r>
      <w:hyperlink r:id="rId7" w:history="1">
        <w:r w:rsidRPr="006F1CBE">
          <w:rPr>
            <w:rStyle w:val="Hyperlink"/>
            <w:b/>
            <w:sz w:val="22"/>
            <w:szCs w:val="22"/>
          </w:rPr>
          <w:t>glomerular filtration rate (GFR)</w:t>
        </w:r>
      </w:hyperlink>
      <w:r w:rsidRPr="006F1CBE">
        <w:rPr>
          <w:color w:val="4472C4" w:themeColor="accent1"/>
          <w:sz w:val="22"/>
          <w:szCs w:val="22"/>
        </w:rPr>
        <w:t xml:space="preserve"> </w:t>
      </w:r>
      <w:r w:rsidRPr="006F1CBE">
        <w:rPr>
          <w:color w:val="000000" w:themeColor="text1"/>
          <w:sz w:val="22"/>
          <w:szCs w:val="22"/>
        </w:rPr>
        <w:t xml:space="preserve">is a key marker of kidney function. The </w:t>
      </w:r>
      <w:hyperlink r:id="rId8" w:history="1">
        <w:r w:rsidRPr="006F1CBE">
          <w:rPr>
            <w:rStyle w:val="Hyperlink"/>
            <w:b/>
            <w:sz w:val="22"/>
            <w:szCs w:val="22"/>
          </w:rPr>
          <w:t>National Kidney Foundation</w:t>
        </w:r>
      </w:hyperlink>
      <w:r w:rsidRPr="006F1CBE">
        <w:rPr>
          <w:color w:val="000000" w:themeColor="text1"/>
          <w:sz w:val="22"/>
          <w:szCs w:val="22"/>
        </w:rPr>
        <w:t xml:space="preserve"> provides an online calculator for GFR measurements using the Bedside Schwartz, Cystatin-C, and Creatinine-Cystatin C-based </w:t>
      </w:r>
      <w:proofErr w:type="spellStart"/>
      <w:r w:rsidRPr="006F1CBE">
        <w:rPr>
          <w:color w:val="000000" w:themeColor="text1"/>
          <w:sz w:val="22"/>
          <w:szCs w:val="22"/>
        </w:rPr>
        <w:t>CKiD</w:t>
      </w:r>
      <w:proofErr w:type="spellEnd"/>
      <w:r w:rsidRPr="006F1CBE">
        <w:rPr>
          <w:color w:val="000000" w:themeColor="text1"/>
          <w:sz w:val="22"/>
          <w:szCs w:val="22"/>
        </w:rPr>
        <w:t xml:space="preserve"> equations. </w:t>
      </w:r>
    </w:p>
    <w:p w:rsidR="00E435D7" w:rsidRPr="006F1CBE" w:rsidRDefault="00E435D7" w:rsidP="00E435D7">
      <w:pPr>
        <w:pStyle w:val="ListParagraph"/>
        <w:numPr>
          <w:ilvl w:val="1"/>
          <w:numId w:val="1"/>
        </w:numPr>
        <w:spacing w:line="276" w:lineRule="auto"/>
        <w:rPr>
          <w:color w:val="000000" w:themeColor="text1"/>
          <w:sz w:val="22"/>
          <w:szCs w:val="22"/>
        </w:rPr>
      </w:pPr>
      <w:r w:rsidRPr="006F1CBE">
        <w:rPr>
          <w:color w:val="000000" w:themeColor="text1"/>
          <w:sz w:val="22"/>
          <w:szCs w:val="22"/>
        </w:rPr>
        <w:t>The Bedside Schwartz equation is the most commonly used estimator of GFR and is dependent on creatinine. It is calculated as, eGFR= 0.413 x (height cm/ serum creatinine) (</w:t>
      </w:r>
      <w:proofErr w:type="spellStart"/>
      <w:r w:rsidRPr="006F1CBE">
        <w:rPr>
          <w:color w:val="000000" w:themeColor="text1"/>
          <w:sz w:val="22"/>
          <w:szCs w:val="22"/>
        </w:rPr>
        <w:t>Mian</w:t>
      </w:r>
      <w:proofErr w:type="spellEnd"/>
      <w:r w:rsidRPr="006F1CBE">
        <w:rPr>
          <w:color w:val="000000" w:themeColor="text1"/>
          <w:sz w:val="22"/>
          <w:szCs w:val="22"/>
        </w:rPr>
        <w:t xml:space="preserve"> 2018). Creatinine values can be impacted by a variety of factors including race/ethnicity, muscle mass, high protein diet, creatine supplements, muscular disorder</w:t>
      </w:r>
      <w:r>
        <w:rPr>
          <w:color w:val="000000" w:themeColor="text1"/>
          <w:sz w:val="22"/>
          <w:szCs w:val="22"/>
        </w:rPr>
        <w:t>s, and medications (KDIGO 2012).</w:t>
      </w:r>
    </w:p>
    <w:p w:rsidR="00E435D7" w:rsidRPr="006F1CBE" w:rsidRDefault="00E435D7" w:rsidP="00E435D7">
      <w:pPr>
        <w:pStyle w:val="ListParagraph"/>
        <w:numPr>
          <w:ilvl w:val="1"/>
          <w:numId w:val="1"/>
        </w:numPr>
        <w:spacing w:line="276" w:lineRule="auto"/>
        <w:rPr>
          <w:color w:val="000000" w:themeColor="text1"/>
          <w:sz w:val="22"/>
          <w:szCs w:val="22"/>
        </w:rPr>
      </w:pPr>
      <w:r w:rsidRPr="006F1CBE">
        <w:rPr>
          <w:color w:val="000000" w:themeColor="text1"/>
          <w:sz w:val="22"/>
          <w:szCs w:val="22"/>
        </w:rPr>
        <w:t xml:space="preserve">Cystatin C has recently been found to correlate with GFR and was developed to overcome the limitations of </w:t>
      </w:r>
      <w:proofErr w:type="gramStart"/>
      <w:r w:rsidRPr="006F1CBE">
        <w:rPr>
          <w:color w:val="000000" w:themeColor="text1"/>
          <w:sz w:val="22"/>
          <w:szCs w:val="22"/>
        </w:rPr>
        <w:t>creatinine based</w:t>
      </w:r>
      <w:proofErr w:type="gramEnd"/>
      <w:r w:rsidRPr="006F1CBE">
        <w:rPr>
          <w:color w:val="000000" w:themeColor="text1"/>
          <w:sz w:val="22"/>
          <w:szCs w:val="22"/>
        </w:rPr>
        <w:t xml:space="preserve"> equations in children as it is less dependent on muscle mass, age, or gender. The Cystatin-C equation is calculated using eGFR= 70.69 x (cystatin C)</w:t>
      </w:r>
      <w:r w:rsidRPr="006F1CBE">
        <w:rPr>
          <w:color w:val="000000" w:themeColor="text1"/>
          <w:sz w:val="22"/>
          <w:szCs w:val="22"/>
          <w:vertAlign w:val="superscript"/>
        </w:rPr>
        <w:t xml:space="preserve">-0.931 </w:t>
      </w:r>
      <w:r w:rsidRPr="006F1CBE">
        <w:rPr>
          <w:color w:val="000000" w:themeColor="text1"/>
          <w:sz w:val="22"/>
          <w:szCs w:val="22"/>
        </w:rPr>
        <w:t>(</w:t>
      </w:r>
      <w:proofErr w:type="spellStart"/>
      <w:r w:rsidRPr="006F1CBE">
        <w:rPr>
          <w:color w:val="000000" w:themeColor="text1"/>
          <w:sz w:val="22"/>
          <w:szCs w:val="22"/>
        </w:rPr>
        <w:t>Mian</w:t>
      </w:r>
      <w:proofErr w:type="spellEnd"/>
      <w:r w:rsidRPr="006F1CBE">
        <w:rPr>
          <w:color w:val="000000" w:themeColor="text1"/>
          <w:sz w:val="22"/>
          <w:szCs w:val="22"/>
        </w:rPr>
        <w:t xml:space="preserve"> 2018).</w:t>
      </w:r>
    </w:p>
    <w:p w:rsidR="00E435D7" w:rsidRPr="006F1CBE" w:rsidRDefault="00E435D7" w:rsidP="00E435D7">
      <w:pPr>
        <w:pStyle w:val="ListParagraph"/>
        <w:numPr>
          <w:ilvl w:val="1"/>
          <w:numId w:val="1"/>
        </w:numPr>
        <w:spacing w:line="276" w:lineRule="auto"/>
        <w:rPr>
          <w:color w:val="000000" w:themeColor="text1"/>
          <w:sz w:val="22"/>
          <w:szCs w:val="22"/>
        </w:rPr>
      </w:pPr>
      <w:r w:rsidRPr="006F1CBE">
        <w:rPr>
          <w:color w:val="000000" w:themeColor="text1"/>
          <w:sz w:val="22"/>
          <w:szCs w:val="22"/>
        </w:rPr>
        <w:t xml:space="preserve">The Creatinine-Cystatin C-based </w:t>
      </w:r>
      <w:proofErr w:type="spellStart"/>
      <w:r w:rsidRPr="006F1CBE">
        <w:rPr>
          <w:color w:val="000000" w:themeColor="text1"/>
          <w:sz w:val="22"/>
          <w:szCs w:val="22"/>
        </w:rPr>
        <w:t>CKiD</w:t>
      </w:r>
      <w:proofErr w:type="spellEnd"/>
      <w:r w:rsidRPr="006F1CBE">
        <w:rPr>
          <w:color w:val="000000" w:themeColor="text1"/>
          <w:sz w:val="22"/>
          <w:szCs w:val="22"/>
        </w:rPr>
        <w:t xml:space="preserve"> equation combines creatinine and cystatin-C to provide the most accurate estimate of GFR in children. The equation is calculated as follows: eGFR = 39.8 x [</w:t>
      </w:r>
      <w:proofErr w:type="spellStart"/>
      <w:r w:rsidRPr="006F1CBE">
        <w:rPr>
          <w:color w:val="000000" w:themeColor="text1"/>
          <w:sz w:val="22"/>
          <w:szCs w:val="22"/>
        </w:rPr>
        <w:t>ht</w:t>
      </w:r>
      <w:proofErr w:type="spellEnd"/>
      <w:r w:rsidRPr="006F1CBE">
        <w:rPr>
          <w:color w:val="000000" w:themeColor="text1"/>
          <w:sz w:val="22"/>
          <w:szCs w:val="22"/>
        </w:rPr>
        <w:t>/</w:t>
      </w:r>
      <w:proofErr w:type="spellStart"/>
      <w:r w:rsidRPr="006F1CBE">
        <w:rPr>
          <w:color w:val="000000" w:themeColor="text1"/>
          <w:sz w:val="22"/>
          <w:szCs w:val="22"/>
        </w:rPr>
        <w:t>Scr</w:t>
      </w:r>
      <w:proofErr w:type="spellEnd"/>
      <w:r w:rsidRPr="006F1CBE">
        <w:rPr>
          <w:color w:val="000000" w:themeColor="text1"/>
          <w:sz w:val="22"/>
          <w:szCs w:val="22"/>
        </w:rPr>
        <w:t>]</w:t>
      </w:r>
      <w:r w:rsidRPr="006F1CBE">
        <w:rPr>
          <w:color w:val="000000" w:themeColor="text1"/>
          <w:sz w:val="22"/>
          <w:szCs w:val="22"/>
          <w:vertAlign w:val="superscript"/>
        </w:rPr>
        <w:t>0.456</w:t>
      </w:r>
      <w:r w:rsidRPr="006F1CBE">
        <w:rPr>
          <w:color w:val="000000" w:themeColor="text1"/>
          <w:sz w:val="22"/>
          <w:szCs w:val="22"/>
        </w:rPr>
        <w:t xml:space="preserve"> x [1.8/</w:t>
      </w:r>
      <w:proofErr w:type="spellStart"/>
      <w:r w:rsidRPr="006F1CBE">
        <w:rPr>
          <w:color w:val="000000" w:themeColor="text1"/>
          <w:sz w:val="22"/>
          <w:szCs w:val="22"/>
        </w:rPr>
        <w:t>cysC</w:t>
      </w:r>
      <w:proofErr w:type="spellEnd"/>
      <w:r w:rsidRPr="006F1CBE">
        <w:rPr>
          <w:color w:val="000000" w:themeColor="text1"/>
          <w:sz w:val="22"/>
          <w:szCs w:val="22"/>
        </w:rPr>
        <w:t>]</w:t>
      </w:r>
      <w:r w:rsidRPr="006F1CBE">
        <w:rPr>
          <w:color w:val="000000" w:themeColor="text1"/>
          <w:sz w:val="22"/>
          <w:szCs w:val="22"/>
          <w:vertAlign w:val="superscript"/>
        </w:rPr>
        <w:t>0.418</w:t>
      </w:r>
      <w:r w:rsidRPr="006F1CBE">
        <w:rPr>
          <w:color w:val="000000" w:themeColor="text1"/>
          <w:sz w:val="22"/>
          <w:szCs w:val="22"/>
        </w:rPr>
        <w:t xml:space="preserve"> x [30/BUN]</w:t>
      </w:r>
      <w:r w:rsidRPr="006F1CBE">
        <w:rPr>
          <w:color w:val="000000" w:themeColor="text1"/>
          <w:sz w:val="22"/>
          <w:szCs w:val="22"/>
          <w:vertAlign w:val="superscript"/>
        </w:rPr>
        <w:t>0.079</w:t>
      </w:r>
      <w:r w:rsidRPr="006F1CBE">
        <w:rPr>
          <w:color w:val="000000" w:themeColor="text1"/>
          <w:sz w:val="22"/>
          <w:szCs w:val="22"/>
        </w:rPr>
        <w:t xml:space="preserve"> x [1.076</w:t>
      </w:r>
      <w:r w:rsidRPr="006F1CBE">
        <w:rPr>
          <w:color w:val="000000" w:themeColor="text1"/>
          <w:sz w:val="22"/>
          <w:szCs w:val="22"/>
          <w:vertAlign w:val="superscript"/>
        </w:rPr>
        <w:t>male</w:t>
      </w:r>
      <w:r w:rsidRPr="006F1CBE">
        <w:rPr>
          <w:color w:val="000000" w:themeColor="text1"/>
          <w:sz w:val="22"/>
          <w:szCs w:val="22"/>
        </w:rPr>
        <w:t>] [1.00</w:t>
      </w:r>
      <w:r w:rsidRPr="006F1CBE">
        <w:rPr>
          <w:color w:val="000000" w:themeColor="text1"/>
          <w:sz w:val="22"/>
          <w:szCs w:val="22"/>
          <w:vertAlign w:val="superscript"/>
        </w:rPr>
        <w:t>female</w:t>
      </w:r>
      <w:r w:rsidRPr="006F1CBE">
        <w:rPr>
          <w:color w:val="000000" w:themeColor="text1"/>
          <w:sz w:val="22"/>
          <w:szCs w:val="22"/>
        </w:rPr>
        <w:t>] x [</w:t>
      </w:r>
      <w:proofErr w:type="spellStart"/>
      <w:r w:rsidRPr="006F1CBE">
        <w:rPr>
          <w:color w:val="000000" w:themeColor="text1"/>
          <w:sz w:val="22"/>
          <w:szCs w:val="22"/>
        </w:rPr>
        <w:t>ht</w:t>
      </w:r>
      <w:proofErr w:type="spellEnd"/>
      <w:r w:rsidRPr="006F1CBE">
        <w:rPr>
          <w:color w:val="000000" w:themeColor="text1"/>
          <w:sz w:val="22"/>
          <w:szCs w:val="22"/>
        </w:rPr>
        <w:t>/1.4]</w:t>
      </w:r>
      <w:r w:rsidRPr="006F1CBE">
        <w:rPr>
          <w:color w:val="000000" w:themeColor="text1"/>
          <w:sz w:val="22"/>
          <w:szCs w:val="22"/>
          <w:vertAlign w:val="superscript"/>
        </w:rPr>
        <w:t xml:space="preserve">0.179 </w:t>
      </w:r>
      <w:r w:rsidRPr="006F1CBE">
        <w:rPr>
          <w:color w:val="000000" w:themeColor="text1"/>
          <w:sz w:val="22"/>
          <w:szCs w:val="22"/>
        </w:rPr>
        <w:t>(</w:t>
      </w:r>
      <w:proofErr w:type="spellStart"/>
      <w:r w:rsidRPr="006F1CBE">
        <w:rPr>
          <w:color w:val="000000" w:themeColor="text1"/>
          <w:sz w:val="22"/>
          <w:szCs w:val="22"/>
        </w:rPr>
        <w:t>Mian</w:t>
      </w:r>
      <w:proofErr w:type="spellEnd"/>
      <w:r w:rsidRPr="006F1CBE">
        <w:rPr>
          <w:color w:val="000000" w:themeColor="text1"/>
          <w:sz w:val="22"/>
          <w:szCs w:val="22"/>
        </w:rPr>
        <w:t xml:space="preserve"> 2018).</w:t>
      </w:r>
    </w:p>
    <w:p w:rsidR="00E435D7" w:rsidRPr="006F1CBE" w:rsidRDefault="00E435D7" w:rsidP="00E435D7">
      <w:pPr>
        <w:pStyle w:val="ListParagraph"/>
        <w:numPr>
          <w:ilvl w:val="0"/>
          <w:numId w:val="1"/>
        </w:numPr>
        <w:spacing w:line="276" w:lineRule="auto"/>
        <w:rPr>
          <w:color w:val="000000" w:themeColor="text1"/>
          <w:sz w:val="22"/>
          <w:szCs w:val="22"/>
        </w:rPr>
      </w:pPr>
      <w:r w:rsidRPr="006F1CBE">
        <w:rPr>
          <w:color w:val="000000" w:themeColor="text1"/>
          <w:sz w:val="22"/>
          <w:szCs w:val="22"/>
        </w:rPr>
        <w:lastRenderedPageBreak/>
        <w:t xml:space="preserve">The American Academy of Pediatrics and American Society of Pediatric Nephrology has created a </w:t>
      </w:r>
      <w:hyperlink r:id="rId9" w:history="1">
        <w:r w:rsidRPr="006F1CBE">
          <w:rPr>
            <w:rStyle w:val="Hyperlink"/>
            <w:b/>
            <w:sz w:val="22"/>
            <w:szCs w:val="22"/>
          </w:rPr>
          <w:t>choosing wisely</w:t>
        </w:r>
      </w:hyperlink>
      <w:r w:rsidRPr="006F1CBE">
        <w:rPr>
          <w:color w:val="4472C4" w:themeColor="accent1"/>
          <w:sz w:val="22"/>
          <w:szCs w:val="22"/>
        </w:rPr>
        <w:t xml:space="preserve"> </w:t>
      </w:r>
      <w:r w:rsidRPr="006F1CBE">
        <w:rPr>
          <w:color w:val="000000" w:themeColor="text1"/>
          <w:sz w:val="22"/>
          <w:szCs w:val="22"/>
        </w:rPr>
        <w:t xml:space="preserve">list of five things to be questioned in the management of renal patients. The findings are summarized by the American Academy of Pediatrics below.  </w:t>
      </w:r>
    </w:p>
    <w:p w:rsidR="00E435D7" w:rsidRDefault="00E435D7" w:rsidP="00E435D7">
      <w:pPr>
        <w:spacing w:line="276" w:lineRule="auto"/>
        <w:ind w:left="360"/>
        <w:jc w:val="center"/>
        <w:rPr>
          <w:color w:val="000000" w:themeColor="text1"/>
          <w:sz w:val="22"/>
          <w:szCs w:val="22"/>
        </w:rPr>
      </w:pPr>
      <w:r w:rsidRPr="006F1CBE">
        <w:rPr>
          <w:noProof/>
          <w:sz w:val="22"/>
          <w:szCs w:val="22"/>
        </w:rPr>
        <w:drawing>
          <wp:inline distT="0" distB="0" distL="0" distR="0" wp14:anchorId="56ED357A" wp14:editId="65295D17">
            <wp:extent cx="5176109" cy="2653365"/>
            <wp:effectExtent l="25400" t="25400" r="31115" b="13970"/>
            <wp:docPr id="12" name="Picture 12" descr="Desktop/Screen%20Shot%202020-07-22%20at%2012.31.57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ktop/Screen%20Shot%202020-07-22%20at%2012.31.57%20PM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657" cy="26567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435D7" w:rsidRPr="006F1CBE" w:rsidRDefault="00E435D7" w:rsidP="00E435D7">
      <w:pPr>
        <w:spacing w:line="276" w:lineRule="auto"/>
        <w:ind w:left="360"/>
        <w:jc w:val="right"/>
        <w:rPr>
          <w:rStyle w:val="Hyperlink"/>
          <w:b/>
          <w:sz w:val="22"/>
          <w:szCs w:val="22"/>
        </w:rPr>
      </w:pPr>
      <w:r w:rsidRPr="006F1CBE">
        <w:rPr>
          <w:b/>
          <w:color w:val="000000" w:themeColor="text1"/>
          <w:sz w:val="22"/>
          <w:szCs w:val="22"/>
        </w:rPr>
        <w:fldChar w:fldCharType="begin"/>
      </w:r>
      <w:r w:rsidRPr="006F1CBE">
        <w:rPr>
          <w:b/>
          <w:color w:val="000000" w:themeColor="text1"/>
          <w:sz w:val="22"/>
          <w:szCs w:val="22"/>
        </w:rPr>
        <w:instrText xml:space="preserve"> HYPERLINK "https://www.aappublications.org/news/2018/08/02/fyinephrology080218" </w:instrText>
      </w:r>
      <w:r w:rsidRPr="006F1CBE">
        <w:rPr>
          <w:b/>
          <w:color w:val="000000" w:themeColor="text1"/>
          <w:sz w:val="22"/>
          <w:szCs w:val="22"/>
        </w:rPr>
        <w:fldChar w:fldCharType="separate"/>
      </w:r>
      <w:proofErr w:type="spellStart"/>
      <w:r w:rsidRPr="006F1CBE">
        <w:rPr>
          <w:rStyle w:val="Hyperlink"/>
          <w:b/>
          <w:sz w:val="22"/>
          <w:szCs w:val="22"/>
        </w:rPr>
        <w:t>Korioth</w:t>
      </w:r>
      <w:proofErr w:type="spellEnd"/>
      <w:r w:rsidRPr="006F1CBE">
        <w:rPr>
          <w:rStyle w:val="Hyperlink"/>
          <w:b/>
          <w:sz w:val="22"/>
          <w:szCs w:val="22"/>
        </w:rPr>
        <w:t xml:space="preserve"> 2018</w:t>
      </w:r>
    </w:p>
    <w:p w:rsidR="00E435D7" w:rsidRPr="006F1CBE" w:rsidRDefault="00E435D7" w:rsidP="00E435D7">
      <w:pPr>
        <w:pStyle w:val="ListParagraph"/>
        <w:numPr>
          <w:ilvl w:val="0"/>
          <w:numId w:val="2"/>
        </w:numPr>
        <w:spacing w:line="276" w:lineRule="auto"/>
        <w:rPr>
          <w:color w:val="000000" w:themeColor="text1"/>
          <w:sz w:val="22"/>
          <w:szCs w:val="22"/>
        </w:rPr>
      </w:pPr>
      <w:r w:rsidRPr="006F1CBE">
        <w:rPr>
          <w:b/>
          <w:color w:val="000000" w:themeColor="text1"/>
          <w:sz w:val="22"/>
          <w:szCs w:val="22"/>
        </w:rPr>
        <w:fldChar w:fldCharType="end"/>
      </w:r>
      <w:r w:rsidRPr="006F1CBE">
        <w:rPr>
          <w:color w:val="000000" w:themeColor="text1"/>
          <w:sz w:val="22"/>
          <w:szCs w:val="22"/>
        </w:rPr>
        <w:t xml:space="preserve">Kidney disease in pediatrics can impact the </w:t>
      </w:r>
      <w:hyperlink r:id="rId12" w:history="1">
        <w:r w:rsidRPr="006F1CBE">
          <w:rPr>
            <w:rStyle w:val="Hyperlink"/>
            <w:b/>
            <w:sz w:val="22"/>
            <w:szCs w:val="22"/>
          </w:rPr>
          <w:t>absorption, distribution, metabolism, and excretion</w:t>
        </w:r>
      </w:hyperlink>
      <w:r w:rsidRPr="006F1CBE">
        <w:rPr>
          <w:color w:val="4472C4" w:themeColor="accent1"/>
          <w:sz w:val="22"/>
          <w:szCs w:val="22"/>
        </w:rPr>
        <w:t xml:space="preserve"> </w:t>
      </w:r>
      <w:r w:rsidRPr="006F1CBE">
        <w:rPr>
          <w:color w:val="000000" w:themeColor="text1"/>
          <w:sz w:val="22"/>
          <w:szCs w:val="22"/>
        </w:rPr>
        <w:t xml:space="preserve">of many medications. It is important to consider GFR when prescribing medication. Determining drug dosage in children poses a huge challenge since most data has been extrapolated by studies conducted on adult males. The following </w:t>
      </w:r>
      <w:hyperlink r:id="rId13" w:history="1">
        <w:r w:rsidRPr="006F1CBE">
          <w:rPr>
            <w:rStyle w:val="Hyperlink"/>
            <w:b/>
            <w:sz w:val="22"/>
            <w:szCs w:val="22"/>
          </w:rPr>
          <w:t>pediatric drug book</w:t>
        </w:r>
      </w:hyperlink>
      <w:r w:rsidRPr="006F1CBE">
        <w:rPr>
          <w:b/>
          <w:color w:val="4472C4" w:themeColor="accent1"/>
          <w:sz w:val="22"/>
          <w:szCs w:val="22"/>
        </w:rPr>
        <w:t xml:space="preserve"> </w:t>
      </w:r>
      <w:r w:rsidRPr="006F1CBE">
        <w:rPr>
          <w:color w:val="000000" w:themeColor="text1"/>
          <w:sz w:val="22"/>
          <w:szCs w:val="22"/>
        </w:rPr>
        <w:t xml:space="preserve">is recommended by the KDIGO 2012 guidelines for pediatric dosing. </w:t>
      </w:r>
    </w:p>
    <w:p w:rsidR="00AD0D0B" w:rsidRDefault="00AD0D0B"/>
    <w:sectPr w:rsidR="00AD0D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0A62B5"/>
    <w:multiLevelType w:val="hybridMultilevel"/>
    <w:tmpl w:val="D4D8FACE"/>
    <w:lvl w:ilvl="0" w:tplc="D2907E2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139E1"/>
    <w:multiLevelType w:val="hybridMultilevel"/>
    <w:tmpl w:val="76424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5D7"/>
    <w:rsid w:val="00033D06"/>
    <w:rsid w:val="000356E5"/>
    <w:rsid w:val="0005262B"/>
    <w:rsid w:val="000577B6"/>
    <w:rsid w:val="0006029A"/>
    <w:rsid w:val="00093921"/>
    <w:rsid w:val="00093A7E"/>
    <w:rsid w:val="000B3DD7"/>
    <w:rsid w:val="000C0A46"/>
    <w:rsid w:val="000E1304"/>
    <w:rsid w:val="000E1A79"/>
    <w:rsid w:val="00101AB2"/>
    <w:rsid w:val="00132E99"/>
    <w:rsid w:val="001356F4"/>
    <w:rsid w:val="001738C7"/>
    <w:rsid w:val="00173FAB"/>
    <w:rsid w:val="00175A40"/>
    <w:rsid w:val="001812BE"/>
    <w:rsid w:val="0019626F"/>
    <w:rsid w:val="001A0E4F"/>
    <w:rsid w:val="001B7859"/>
    <w:rsid w:val="001C782E"/>
    <w:rsid w:val="001F7237"/>
    <w:rsid w:val="00206B07"/>
    <w:rsid w:val="002129B0"/>
    <w:rsid w:val="00231CE4"/>
    <w:rsid w:val="00247080"/>
    <w:rsid w:val="00253B7F"/>
    <w:rsid w:val="002549A9"/>
    <w:rsid w:val="00264B25"/>
    <w:rsid w:val="00270DB3"/>
    <w:rsid w:val="00277C78"/>
    <w:rsid w:val="002A621B"/>
    <w:rsid w:val="002B7003"/>
    <w:rsid w:val="002C0674"/>
    <w:rsid w:val="002C7AAF"/>
    <w:rsid w:val="002F1A6F"/>
    <w:rsid w:val="002F2E12"/>
    <w:rsid w:val="0031139D"/>
    <w:rsid w:val="00313B49"/>
    <w:rsid w:val="003150AE"/>
    <w:rsid w:val="00317552"/>
    <w:rsid w:val="00350115"/>
    <w:rsid w:val="003978EE"/>
    <w:rsid w:val="003A01B4"/>
    <w:rsid w:val="003A032B"/>
    <w:rsid w:val="003A7B2F"/>
    <w:rsid w:val="003C7F78"/>
    <w:rsid w:val="003F0121"/>
    <w:rsid w:val="003F5379"/>
    <w:rsid w:val="00403AC6"/>
    <w:rsid w:val="0041022F"/>
    <w:rsid w:val="00420FC2"/>
    <w:rsid w:val="00452C81"/>
    <w:rsid w:val="00464FBF"/>
    <w:rsid w:val="004756EA"/>
    <w:rsid w:val="00485BB9"/>
    <w:rsid w:val="00494825"/>
    <w:rsid w:val="004A3A4E"/>
    <w:rsid w:val="004B7D3A"/>
    <w:rsid w:val="004E3BFF"/>
    <w:rsid w:val="004F53F6"/>
    <w:rsid w:val="00531474"/>
    <w:rsid w:val="00535E1D"/>
    <w:rsid w:val="005759FA"/>
    <w:rsid w:val="005819C1"/>
    <w:rsid w:val="005C2241"/>
    <w:rsid w:val="005C7E8A"/>
    <w:rsid w:val="005D7920"/>
    <w:rsid w:val="005E0CE8"/>
    <w:rsid w:val="00632BAB"/>
    <w:rsid w:val="0063564A"/>
    <w:rsid w:val="00651353"/>
    <w:rsid w:val="00665BD1"/>
    <w:rsid w:val="00680A44"/>
    <w:rsid w:val="0068332D"/>
    <w:rsid w:val="0068673B"/>
    <w:rsid w:val="006A041A"/>
    <w:rsid w:val="006A4581"/>
    <w:rsid w:val="006B236E"/>
    <w:rsid w:val="006D6B03"/>
    <w:rsid w:val="007070D6"/>
    <w:rsid w:val="00727C19"/>
    <w:rsid w:val="00734F1E"/>
    <w:rsid w:val="00745133"/>
    <w:rsid w:val="00756AD4"/>
    <w:rsid w:val="0079384D"/>
    <w:rsid w:val="00814BAF"/>
    <w:rsid w:val="0082691C"/>
    <w:rsid w:val="0083757A"/>
    <w:rsid w:val="008859BB"/>
    <w:rsid w:val="008A79BD"/>
    <w:rsid w:val="008B7A09"/>
    <w:rsid w:val="008D6A28"/>
    <w:rsid w:val="008D767E"/>
    <w:rsid w:val="0093599C"/>
    <w:rsid w:val="00974145"/>
    <w:rsid w:val="00982C7F"/>
    <w:rsid w:val="00986F11"/>
    <w:rsid w:val="00991CEE"/>
    <w:rsid w:val="00995831"/>
    <w:rsid w:val="009F559A"/>
    <w:rsid w:val="00A054C1"/>
    <w:rsid w:val="00A070BB"/>
    <w:rsid w:val="00A20EF7"/>
    <w:rsid w:val="00A212D6"/>
    <w:rsid w:val="00A278F5"/>
    <w:rsid w:val="00A35D39"/>
    <w:rsid w:val="00A443BE"/>
    <w:rsid w:val="00A655AA"/>
    <w:rsid w:val="00A8547A"/>
    <w:rsid w:val="00A858E9"/>
    <w:rsid w:val="00A874EA"/>
    <w:rsid w:val="00A90B59"/>
    <w:rsid w:val="00A90E30"/>
    <w:rsid w:val="00A94FA0"/>
    <w:rsid w:val="00AB4417"/>
    <w:rsid w:val="00AD0D0B"/>
    <w:rsid w:val="00AD7370"/>
    <w:rsid w:val="00AE0C26"/>
    <w:rsid w:val="00AE5E5C"/>
    <w:rsid w:val="00B13BE1"/>
    <w:rsid w:val="00B35775"/>
    <w:rsid w:val="00B778C8"/>
    <w:rsid w:val="00B7792A"/>
    <w:rsid w:val="00B85936"/>
    <w:rsid w:val="00BC684F"/>
    <w:rsid w:val="00C03AA4"/>
    <w:rsid w:val="00C244CA"/>
    <w:rsid w:val="00C371B4"/>
    <w:rsid w:val="00C41E24"/>
    <w:rsid w:val="00C466EC"/>
    <w:rsid w:val="00C56A75"/>
    <w:rsid w:val="00C74E56"/>
    <w:rsid w:val="00C75436"/>
    <w:rsid w:val="00CA095C"/>
    <w:rsid w:val="00CB0700"/>
    <w:rsid w:val="00CC5EB1"/>
    <w:rsid w:val="00CC7653"/>
    <w:rsid w:val="00CD1395"/>
    <w:rsid w:val="00CE4834"/>
    <w:rsid w:val="00CF7A23"/>
    <w:rsid w:val="00D164C2"/>
    <w:rsid w:val="00D339AE"/>
    <w:rsid w:val="00D4297B"/>
    <w:rsid w:val="00D52B59"/>
    <w:rsid w:val="00D53A8C"/>
    <w:rsid w:val="00D63581"/>
    <w:rsid w:val="00D9572C"/>
    <w:rsid w:val="00DA11A3"/>
    <w:rsid w:val="00DB6DA3"/>
    <w:rsid w:val="00DC680F"/>
    <w:rsid w:val="00DD0C80"/>
    <w:rsid w:val="00DE1DB6"/>
    <w:rsid w:val="00DE2B7C"/>
    <w:rsid w:val="00DF1FB1"/>
    <w:rsid w:val="00DF264D"/>
    <w:rsid w:val="00E1374A"/>
    <w:rsid w:val="00E137D6"/>
    <w:rsid w:val="00E25D82"/>
    <w:rsid w:val="00E435D7"/>
    <w:rsid w:val="00E47E0E"/>
    <w:rsid w:val="00E953F9"/>
    <w:rsid w:val="00EC488F"/>
    <w:rsid w:val="00EC749D"/>
    <w:rsid w:val="00F030E1"/>
    <w:rsid w:val="00F04A2B"/>
    <w:rsid w:val="00F15CB8"/>
    <w:rsid w:val="00F92752"/>
    <w:rsid w:val="00FC7E10"/>
    <w:rsid w:val="00FE4D7A"/>
    <w:rsid w:val="00FF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9D2FA"/>
  <w15:chartTrackingRefBased/>
  <w15:docId w15:val="{E10D8502-EE97-42B1-8474-585822C50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35D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35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435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dney.org/professionals/Kdoqi/gfr_calculatorPed" TargetMode="External"/><Relationship Id="rId13" Type="http://schemas.openxmlformats.org/officeDocument/2006/relationships/hyperlink" Target="https://kdpnet.kdp.louisville.ed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pmc/articles/PMC6198668/" TargetMode="External"/><Relationship Id="rId12" Type="http://schemas.openxmlformats.org/officeDocument/2006/relationships/hyperlink" Target="https://www.ncbi.nlm.nih.gov/pmc/articles/PMC466121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microsoft.com/office/2007/relationships/hdphoto" Target="media/hdphoto1.wdp"/><Relationship Id="rId5" Type="http://schemas.openxmlformats.org/officeDocument/2006/relationships/hyperlink" Target="https://link.springer.com/article/10.1007/BF02387851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choosingwisely.org/societies/american-academy-of-pediatrics-section-on-nephrology-and-the-american-society-of-pediatric-nephrolog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Wynne, Kathryn</dc:creator>
  <cp:keywords/>
  <dc:description/>
  <cp:lastModifiedBy>Wynne, Kathryn</cp:lastModifiedBy>
  <cp:revision>1</cp:revision>
  <dcterms:created xsi:type="dcterms:W3CDTF">2020-11-17T02:27:00Z</dcterms:created>
  <dcterms:modified xsi:type="dcterms:W3CDTF">2020-11-17T02:28:00Z</dcterms:modified>
</cp:coreProperties>
</file>